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C3294" w14:textId="4850BCD5" w:rsidR="00CC475E" w:rsidRPr="00F24B8F" w:rsidRDefault="001841CA" w:rsidP="00CC475E">
      <w:pPr>
        <w:contextualSpacing/>
        <w:mirrorIndents/>
        <w:jc w:val="both"/>
        <w:rPr>
          <w:b/>
          <w:sz w:val="22"/>
          <w:szCs w:val="22"/>
        </w:rPr>
      </w:pPr>
      <w:bookmarkStart w:id="0" w:name="_Hlk77934542"/>
      <w:r>
        <w:rPr>
          <w:b/>
          <w:sz w:val="22"/>
          <w:szCs w:val="22"/>
        </w:rPr>
        <w:t>Review</w:t>
      </w:r>
      <w:r w:rsidR="00CC475E" w:rsidRPr="00F24B8F">
        <w:rPr>
          <w:b/>
          <w:sz w:val="22"/>
          <w:szCs w:val="22"/>
        </w:rPr>
        <w:t xml:space="preserve"> Article</w:t>
      </w:r>
    </w:p>
    <w:p w14:paraId="389D210C" w14:textId="77777777" w:rsidR="00CC475E" w:rsidRPr="0061588E" w:rsidRDefault="00CC475E" w:rsidP="00CC475E">
      <w:pPr>
        <w:contextualSpacing/>
        <w:mirrorIndents/>
        <w:jc w:val="both"/>
        <w:rPr>
          <w:sz w:val="20"/>
          <w:szCs w:val="20"/>
        </w:rPr>
      </w:pPr>
    </w:p>
    <w:p w14:paraId="13998785" w14:textId="77777777" w:rsidR="000C2AD0" w:rsidRPr="000C2AD0" w:rsidRDefault="000C2AD0" w:rsidP="000C2AD0">
      <w:pPr>
        <w:contextualSpacing/>
        <w:mirrorIndents/>
        <w:jc w:val="center"/>
        <w:rPr>
          <w:b/>
          <w:sz w:val="30"/>
          <w:szCs w:val="30"/>
        </w:rPr>
      </w:pPr>
      <w:r w:rsidRPr="000C2AD0">
        <w:rPr>
          <w:b/>
          <w:sz w:val="30"/>
          <w:szCs w:val="30"/>
        </w:rPr>
        <w:t>Pharmacology Summative Assessments in the AAS Nursing Curriculum</w:t>
      </w:r>
    </w:p>
    <w:p w14:paraId="2DBB84BD" w14:textId="77777777" w:rsidR="00CC475E" w:rsidRPr="0061588E" w:rsidRDefault="00CC475E" w:rsidP="00CC475E">
      <w:pPr>
        <w:contextualSpacing/>
        <w:mirrorIndents/>
        <w:jc w:val="both"/>
        <w:rPr>
          <w:sz w:val="20"/>
          <w:szCs w:val="20"/>
        </w:rPr>
      </w:pPr>
    </w:p>
    <w:p w14:paraId="523B490E" w14:textId="77777777" w:rsidR="00C45C6E" w:rsidRPr="00701DB1" w:rsidRDefault="00C45C6E" w:rsidP="00C45C6E">
      <w:pPr>
        <w:contextualSpacing/>
        <w:mirrorIndents/>
        <w:jc w:val="both"/>
        <w:rPr>
          <w:b/>
          <w:color w:val="FF0000"/>
          <w:sz w:val="22"/>
          <w:szCs w:val="22"/>
        </w:rPr>
      </w:pPr>
      <w:r w:rsidRPr="00701DB1">
        <w:rPr>
          <w:b/>
          <w:sz w:val="22"/>
          <w:szCs w:val="22"/>
        </w:rPr>
        <w:t>Yolanda Harper-Morris, DNP, RN</w:t>
      </w:r>
      <w:r w:rsidRPr="00701DB1">
        <w:rPr>
          <w:b/>
          <w:color w:val="FF0000"/>
          <w:sz w:val="22"/>
          <w:szCs w:val="22"/>
          <w:vertAlign w:val="superscript"/>
        </w:rPr>
        <w:t>#</w:t>
      </w:r>
      <w:r w:rsidRPr="00701DB1">
        <w:rPr>
          <w:b/>
          <w:sz w:val="22"/>
          <w:szCs w:val="22"/>
        </w:rPr>
        <w:t>, Angela Dade, MSN, RN, ANP-C</w:t>
      </w:r>
    </w:p>
    <w:p w14:paraId="67A53EB1" w14:textId="77777777" w:rsidR="00CC475E" w:rsidRPr="0061588E" w:rsidRDefault="00CC475E" w:rsidP="00CC475E">
      <w:pPr>
        <w:contextualSpacing/>
        <w:mirrorIndents/>
        <w:jc w:val="both"/>
        <w:rPr>
          <w:sz w:val="20"/>
          <w:szCs w:val="20"/>
        </w:rPr>
      </w:pPr>
    </w:p>
    <w:p w14:paraId="4962F32D" w14:textId="3204799D" w:rsidR="00CC475E" w:rsidRDefault="00706608" w:rsidP="00CC475E">
      <w:pPr>
        <w:contextualSpacing/>
        <w:mirrorIndents/>
        <w:jc w:val="both"/>
        <w:rPr>
          <w:sz w:val="20"/>
          <w:szCs w:val="20"/>
        </w:rPr>
      </w:pPr>
      <w:r>
        <w:rPr>
          <w:sz w:val="20"/>
          <w:szCs w:val="20"/>
        </w:rPr>
        <w:t>Department of</w:t>
      </w:r>
      <w:r w:rsidR="00CC475E">
        <w:rPr>
          <w:sz w:val="20"/>
          <w:szCs w:val="20"/>
        </w:rPr>
        <w:t xml:space="preserve"> Nursing, </w:t>
      </w:r>
      <w:r w:rsidR="008933BE" w:rsidRPr="008933BE">
        <w:rPr>
          <w:sz w:val="20"/>
          <w:szCs w:val="20"/>
        </w:rPr>
        <w:t>Malcolm X College</w:t>
      </w:r>
      <w:r w:rsidR="00CC475E">
        <w:rPr>
          <w:sz w:val="20"/>
          <w:szCs w:val="20"/>
        </w:rPr>
        <w:t xml:space="preserve">, </w:t>
      </w:r>
      <w:r w:rsidR="0058795B" w:rsidRPr="0058795B">
        <w:rPr>
          <w:sz w:val="20"/>
          <w:szCs w:val="20"/>
        </w:rPr>
        <w:t>City Colleges of Chicago</w:t>
      </w:r>
      <w:r w:rsidR="00CC475E">
        <w:rPr>
          <w:sz w:val="20"/>
          <w:szCs w:val="20"/>
        </w:rPr>
        <w:t xml:space="preserve">, </w:t>
      </w:r>
      <w:r w:rsidR="00F557E2">
        <w:rPr>
          <w:rFonts w:eastAsia="Calibri"/>
          <w:sz w:val="20"/>
          <w:szCs w:val="20"/>
        </w:rPr>
        <w:t xml:space="preserve">Illinois, </w:t>
      </w:r>
      <w:r w:rsidR="00CC475E">
        <w:rPr>
          <w:sz w:val="20"/>
          <w:szCs w:val="20"/>
        </w:rPr>
        <w:t>USA</w:t>
      </w:r>
    </w:p>
    <w:p w14:paraId="7417EE3F" w14:textId="77777777" w:rsidR="00CC475E" w:rsidRPr="0061588E" w:rsidRDefault="00CC475E" w:rsidP="00CC475E">
      <w:pPr>
        <w:contextualSpacing/>
        <w:mirrorIndents/>
        <w:jc w:val="both"/>
        <w:rPr>
          <w:sz w:val="20"/>
          <w:szCs w:val="20"/>
        </w:rPr>
      </w:pPr>
    </w:p>
    <w:p w14:paraId="551BCC1D" w14:textId="27B7226E" w:rsidR="00CC475E" w:rsidRDefault="00CC475E" w:rsidP="00790814">
      <w:pPr>
        <w:contextualSpacing/>
        <w:mirrorIndents/>
        <w:jc w:val="both"/>
        <w:rPr>
          <w:sz w:val="20"/>
          <w:szCs w:val="20"/>
        </w:rPr>
      </w:pPr>
      <w:r w:rsidRPr="0061588E">
        <w:rPr>
          <w:b/>
          <w:color w:val="FF0000"/>
          <w:sz w:val="20"/>
          <w:szCs w:val="20"/>
          <w:vertAlign w:val="superscript"/>
        </w:rPr>
        <w:t>#</w:t>
      </w:r>
      <w:r w:rsidRPr="0061588E">
        <w:rPr>
          <w:b/>
          <w:sz w:val="20"/>
          <w:szCs w:val="20"/>
        </w:rPr>
        <w:t>Corresponding author:</w:t>
      </w:r>
      <w:r w:rsidRPr="0061588E">
        <w:rPr>
          <w:sz w:val="20"/>
          <w:szCs w:val="20"/>
        </w:rPr>
        <w:t xml:space="preserve"> </w:t>
      </w:r>
      <w:r w:rsidR="002C7E40" w:rsidRPr="002C7E40">
        <w:rPr>
          <w:sz w:val="20"/>
          <w:szCs w:val="20"/>
        </w:rPr>
        <w:t>Yolanda Harper-Morris, DNP, RN</w:t>
      </w:r>
      <w:r w:rsidR="002C7E40">
        <w:rPr>
          <w:sz w:val="20"/>
          <w:szCs w:val="20"/>
        </w:rPr>
        <w:t xml:space="preserve">, </w:t>
      </w:r>
      <w:r w:rsidR="002C7E40" w:rsidRPr="002C7E40">
        <w:rPr>
          <w:sz w:val="20"/>
          <w:szCs w:val="20"/>
        </w:rPr>
        <w:t>Full Professor,</w:t>
      </w:r>
      <w:r w:rsidR="002C7E40">
        <w:rPr>
          <w:sz w:val="20"/>
          <w:szCs w:val="20"/>
        </w:rPr>
        <w:t xml:space="preserve"> Department of</w:t>
      </w:r>
      <w:r w:rsidR="002C7E40" w:rsidRPr="002C7E40">
        <w:rPr>
          <w:sz w:val="20"/>
          <w:szCs w:val="20"/>
        </w:rPr>
        <w:t xml:space="preserve"> Nursing</w:t>
      </w:r>
      <w:r w:rsidR="0057639C">
        <w:rPr>
          <w:sz w:val="20"/>
          <w:szCs w:val="20"/>
        </w:rPr>
        <w:t xml:space="preserve">, </w:t>
      </w:r>
      <w:r w:rsidR="002C7E40" w:rsidRPr="002C7E40">
        <w:rPr>
          <w:sz w:val="20"/>
          <w:szCs w:val="20"/>
        </w:rPr>
        <w:t>Malcolm X College</w:t>
      </w:r>
      <w:r w:rsidR="00790814">
        <w:rPr>
          <w:sz w:val="20"/>
          <w:szCs w:val="20"/>
        </w:rPr>
        <w:t xml:space="preserve">, </w:t>
      </w:r>
      <w:r w:rsidR="00790814" w:rsidRPr="0058795B">
        <w:rPr>
          <w:sz w:val="20"/>
          <w:szCs w:val="20"/>
        </w:rPr>
        <w:t>City Colleges of Chicago</w:t>
      </w:r>
      <w:r w:rsidR="00790814">
        <w:rPr>
          <w:sz w:val="20"/>
          <w:szCs w:val="20"/>
        </w:rPr>
        <w:t xml:space="preserve">, </w:t>
      </w:r>
      <w:r w:rsidR="002C7E40" w:rsidRPr="002C7E40">
        <w:rPr>
          <w:sz w:val="20"/>
          <w:szCs w:val="20"/>
        </w:rPr>
        <w:t>1900 West Jackson Blvd</w:t>
      </w:r>
      <w:r w:rsidR="00790814">
        <w:rPr>
          <w:sz w:val="20"/>
          <w:szCs w:val="20"/>
        </w:rPr>
        <w:t xml:space="preserve">, </w:t>
      </w:r>
      <w:r w:rsidR="002C7E40" w:rsidRPr="002C7E40">
        <w:rPr>
          <w:sz w:val="20"/>
          <w:szCs w:val="20"/>
        </w:rPr>
        <w:t>Chicago, Illinois 60612</w:t>
      </w:r>
      <w:r w:rsidR="00790814">
        <w:rPr>
          <w:sz w:val="20"/>
          <w:szCs w:val="20"/>
        </w:rPr>
        <w:t>, USA</w:t>
      </w:r>
    </w:p>
    <w:p w14:paraId="26725DA9" w14:textId="77777777" w:rsidR="00CC475E" w:rsidRPr="0061588E" w:rsidRDefault="00CC475E" w:rsidP="00CC475E">
      <w:pPr>
        <w:contextualSpacing/>
        <w:mirrorIndents/>
        <w:jc w:val="both"/>
        <w:rPr>
          <w:sz w:val="20"/>
          <w:szCs w:val="20"/>
        </w:rPr>
      </w:pPr>
    </w:p>
    <w:p w14:paraId="0C7FF02B" w14:textId="54A5E784" w:rsidR="00CC475E" w:rsidRDefault="00CC475E" w:rsidP="00CC475E">
      <w:pPr>
        <w:contextualSpacing/>
        <w:mirrorIndents/>
        <w:jc w:val="both"/>
        <w:rPr>
          <w:sz w:val="20"/>
          <w:szCs w:val="20"/>
        </w:rPr>
      </w:pPr>
      <w:r w:rsidRPr="0061588E">
        <w:rPr>
          <w:b/>
          <w:sz w:val="20"/>
          <w:szCs w:val="20"/>
        </w:rPr>
        <w:t>How to cite this article:</w:t>
      </w:r>
      <w:r w:rsidRPr="0061588E">
        <w:rPr>
          <w:sz w:val="20"/>
          <w:szCs w:val="20"/>
        </w:rPr>
        <w:t xml:space="preserve"> </w:t>
      </w:r>
      <w:r w:rsidR="00AB6471">
        <w:rPr>
          <w:sz w:val="20"/>
          <w:szCs w:val="20"/>
        </w:rPr>
        <w:t xml:space="preserve">Harper-Morris Y and Dade A </w:t>
      </w:r>
      <w:r w:rsidRPr="0061588E">
        <w:rPr>
          <w:sz w:val="20"/>
          <w:szCs w:val="20"/>
        </w:rPr>
        <w:t xml:space="preserve">(2021) </w:t>
      </w:r>
      <w:r w:rsidR="00CD6C07" w:rsidRPr="00CD6C07">
        <w:rPr>
          <w:sz w:val="20"/>
          <w:szCs w:val="20"/>
        </w:rPr>
        <w:t>Pharmacology Summative Assessments in the AAS Nursing Curriculum</w:t>
      </w:r>
      <w:r w:rsidRPr="0061588E">
        <w:rPr>
          <w:sz w:val="20"/>
          <w:szCs w:val="20"/>
        </w:rPr>
        <w:t xml:space="preserve">. </w:t>
      </w:r>
      <w:proofErr w:type="spellStart"/>
      <w:r w:rsidRPr="0061588E">
        <w:rPr>
          <w:sz w:val="20"/>
          <w:szCs w:val="20"/>
        </w:rPr>
        <w:t>Int</w:t>
      </w:r>
      <w:proofErr w:type="spellEnd"/>
      <w:r w:rsidRPr="0061588E">
        <w:rPr>
          <w:sz w:val="20"/>
          <w:szCs w:val="20"/>
        </w:rPr>
        <w:t xml:space="preserve"> J </w:t>
      </w:r>
      <w:proofErr w:type="spellStart"/>
      <w:r w:rsidRPr="0061588E">
        <w:rPr>
          <w:sz w:val="20"/>
          <w:szCs w:val="20"/>
        </w:rPr>
        <w:t>Nurs</w:t>
      </w:r>
      <w:proofErr w:type="spellEnd"/>
      <w:r w:rsidRPr="0061588E">
        <w:rPr>
          <w:sz w:val="20"/>
          <w:szCs w:val="20"/>
        </w:rPr>
        <w:t xml:space="preserve"> &amp; </w:t>
      </w:r>
      <w:proofErr w:type="spellStart"/>
      <w:r w:rsidRPr="0061588E">
        <w:rPr>
          <w:sz w:val="20"/>
          <w:szCs w:val="20"/>
        </w:rPr>
        <w:t>Healt</w:t>
      </w:r>
      <w:proofErr w:type="spellEnd"/>
      <w:r w:rsidRPr="0061588E">
        <w:rPr>
          <w:sz w:val="20"/>
          <w:szCs w:val="20"/>
        </w:rPr>
        <w:t xml:space="preserve"> Car </w:t>
      </w:r>
      <w:proofErr w:type="spellStart"/>
      <w:r w:rsidRPr="0061588E">
        <w:rPr>
          <w:sz w:val="20"/>
          <w:szCs w:val="20"/>
        </w:rPr>
        <w:t>Scie</w:t>
      </w:r>
      <w:proofErr w:type="spellEnd"/>
      <w:r w:rsidRPr="0061588E">
        <w:rPr>
          <w:sz w:val="20"/>
          <w:szCs w:val="20"/>
        </w:rPr>
        <w:t xml:space="preserve"> 01(1</w:t>
      </w:r>
      <w:r w:rsidR="00350B40">
        <w:rPr>
          <w:sz w:val="20"/>
          <w:szCs w:val="20"/>
        </w:rPr>
        <w:t>2): 2021-69</w:t>
      </w:r>
      <w:r w:rsidRPr="0061588E">
        <w:rPr>
          <w:sz w:val="20"/>
          <w:szCs w:val="20"/>
        </w:rPr>
        <w:t>.</w:t>
      </w:r>
    </w:p>
    <w:p w14:paraId="232D57F2" w14:textId="77777777" w:rsidR="00CC475E" w:rsidRPr="0061588E" w:rsidRDefault="00CC475E" w:rsidP="00CC475E">
      <w:pPr>
        <w:contextualSpacing/>
        <w:mirrorIndents/>
        <w:jc w:val="both"/>
        <w:rPr>
          <w:sz w:val="20"/>
          <w:szCs w:val="20"/>
        </w:rPr>
      </w:pPr>
    </w:p>
    <w:p w14:paraId="1D93ACD8" w14:textId="30D23990" w:rsidR="00CC475E" w:rsidRPr="0061588E" w:rsidRDefault="00CC475E" w:rsidP="00CC475E">
      <w:pPr>
        <w:contextualSpacing/>
        <w:mirrorIndents/>
        <w:jc w:val="both"/>
        <w:rPr>
          <w:sz w:val="20"/>
          <w:szCs w:val="20"/>
        </w:rPr>
      </w:pPr>
      <w:r w:rsidRPr="0061588E">
        <w:rPr>
          <w:b/>
          <w:sz w:val="20"/>
          <w:szCs w:val="20"/>
        </w:rPr>
        <w:t>Submission Date:</w:t>
      </w:r>
      <w:r w:rsidR="006E5D1A">
        <w:rPr>
          <w:sz w:val="20"/>
          <w:szCs w:val="20"/>
        </w:rPr>
        <w:t xml:space="preserve"> 17</w:t>
      </w:r>
      <w:r>
        <w:rPr>
          <w:sz w:val="20"/>
          <w:szCs w:val="20"/>
        </w:rPr>
        <w:t xml:space="preserve"> July</w:t>
      </w:r>
      <w:r w:rsidRPr="0061588E">
        <w:rPr>
          <w:sz w:val="20"/>
          <w:szCs w:val="20"/>
        </w:rPr>
        <w:t xml:space="preserve">, 2021; </w:t>
      </w:r>
      <w:r w:rsidRPr="0061588E">
        <w:rPr>
          <w:b/>
          <w:sz w:val="20"/>
          <w:szCs w:val="20"/>
        </w:rPr>
        <w:t>Accepted Date:</w:t>
      </w:r>
      <w:r w:rsidRPr="0061588E">
        <w:rPr>
          <w:sz w:val="20"/>
          <w:szCs w:val="20"/>
        </w:rPr>
        <w:t xml:space="preserve"> </w:t>
      </w:r>
      <w:r w:rsidR="00216DED">
        <w:rPr>
          <w:sz w:val="20"/>
          <w:szCs w:val="20"/>
        </w:rPr>
        <w:t>11</w:t>
      </w:r>
      <w:r>
        <w:rPr>
          <w:sz w:val="20"/>
          <w:szCs w:val="20"/>
        </w:rPr>
        <w:t xml:space="preserve"> August</w:t>
      </w:r>
      <w:r w:rsidRPr="0061588E">
        <w:rPr>
          <w:sz w:val="20"/>
          <w:szCs w:val="20"/>
        </w:rPr>
        <w:t xml:space="preserve">, 2021; </w:t>
      </w:r>
      <w:r w:rsidRPr="0061588E">
        <w:rPr>
          <w:b/>
          <w:sz w:val="20"/>
          <w:szCs w:val="20"/>
        </w:rPr>
        <w:t>Published Online:</w:t>
      </w:r>
      <w:r w:rsidRPr="0061588E">
        <w:rPr>
          <w:sz w:val="20"/>
          <w:szCs w:val="20"/>
        </w:rPr>
        <w:t xml:space="preserve"> </w:t>
      </w:r>
      <w:r w:rsidR="00216DED">
        <w:rPr>
          <w:sz w:val="20"/>
          <w:szCs w:val="20"/>
        </w:rPr>
        <w:t>17</w:t>
      </w:r>
      <w:r>
        <w:rPr>
          <w:sz w:val="20"/>
          <w:szCs w:val="20"/>
        </w:rPr>
        <w:t xml:space="preserve"> August</w:t>
      </w:r>
      <w:r w:rsidRPr="0061588E">
        <w:rPr>
          <w:sz w:val="20"/>
          <w:szCs w:val="20"/>
        </w:rPr>
        <w:t>, 2021</w:t>
      </w:r>
    </w:p>
    <w:p w14:paraId="29D6B04F" w14:textId="4AF95C44" w:rsidR="00B413FE" w:rsidRPr="005059C4" w:rsidRDefault="00B413FE" w:rsidP="009830C9">
      <w:pPr>
        <w:contextualSpacing/>
        <w:mirrorIndents/>
        <w:jc w:val="both"/>
        <w:rPr>
          <w:rFonts w:eastAsia="Calibri"/>
          <w:sz w:val="20"/>
          <w:szCs w:val="20"/>
        </w:rPr>
      </w:pPr>
      <w:bookmarkStart w:id="1" w:name="Using_a_School_Based_Health_Center_to_Va"/>
      <w:bookmarkEnd w:id="0"/>
      <w:bookmarkEnd w:id="1"/>
    </w:p>
    <w:p w14:paraId="7CBFD60A" w14:textId="77777777" w:rsidR="00B413FE" w:rsidRPr="00830440" w:rsidRDefault="00D01966" w:rsidP="00DF14EA">
      <w:pPr>
        <w:contextualSpacing/>
        <w:mirrorIndents/>
        <w:jc w:val="both"/>
        <w:rPr>
          <w:rFonts w:eastAsia="Calibri"/>
          <w:b/>
          <w:sz w:val="22"/>
          <w:szCs w:val="22"/>
        </w:rPr>
      </w:pPr>
      <w:r w:rsidRPr="00830440">
        <w:rPr>
          <w:rFonts w:eastAsia="Calibri"/>
          <w:b/>
          <w:sz w:val="22"/>
          <w:szCs w:val="22"/>
        </w:rPr>
        <w:t>Abstract</w:t>
      </w:r>
    </w:p>
    <w:p w14:paraId="672A6659" w14:textId="77777777" w:rsidR="00D01966" w:rsidRPr="005059C4" w:rsidRDefault="00D01966" w:rsidP="00DF14EA">
      <w:pPr>
        <w:contextualSpacing/>
        <w:mirrorIndents/>
        <w:jc w:val="both"/>
        <w:rPr>
          <w:bCs/>
          <w:sz w:val="20"/>
          <w:szCs w:val="20"/>
        </w:rPr>
      </w:pPr>
    </w:p>
    <w:p w14:paraId="715839A4" w14:textId="61477900" w:rsidR="00B413FE" w:rsidRPr="005059C4" w:rsidRDefault="008003B7" w:rsidP="00DF14EA">
      <w:pPr>
        <w:contextualSpacing/>
        <w:mirrorIndents/>
        <w:jc w:val="both"/>
        <w:rPr>
          <w:sz w:val="20"/>
          <w:szCs w:val="20"/>
        </w:rPr>
      </w:pPr>
      <w:r w:rsidRPr="00252DFA">
        <w:rPr>
          <w:b/>
          <w:bCs/>
          <w:sz w:val="20"/>
          <w:szCs w:val="20"/>
        </w:rPr>
        <w:t>Introduction</w:t>
      </w:r>
      <w:r w:rsidR="00B413FE" w:rsidRPr="00252DFA">
        <w:rPr>
          <w:b/>
          <w:sz w:val="20"/>
          <w:szCs w:val="20"/>
        </w:rPr>
        <w:t>:</w:t>
      </w:r>
      <w:r w:rsidR="00B413FE" w:rsidRPr="005059C4">
        <w:rPr>
          <w:sz w:val="20"/>
          <w:szCs w:val="20"/>
        </w:rPr>
        <w:t xml:space="preserve"> The City of Chicago Associate Applied Science (AAS) nursing</w:t>
      </w:r>
      <w:r w:rsidR="00B413FE" w:rsidRPr="005059C4">
        <w:rPr>
          <w:rFonts w:eastAsia="Calibri"/>
          <w:sz w:val="20"/>
          <w:szCs w:val="20"/>
        </w:rPr>
        <w:t xml:space="preserve"> </w:t>
      </w:r>
      <w:r w:rsidR="00B413FE" w:rsidRPr="005059C4">
        <w:rPr>
          <w:sz w:val="20"/>
          <w:szCs w:val="20"/>
        </w:rPr>
        <w:t>program curriculum does not offer a pharmacology course. In preparation for student’s success on the National Council Licensure Examination Registered Nurse exam (NCLEX-RN), nursing faculty adopted web-based pharmacology contents, to provide additional support and to assist students in learning the concepts of pharmacology throughout the curriculum. At the end of the two-year program, the student’s knowledge of pharmacology was assessed by administering two examinations: ATI-RN Pharmacology exam and ATI RN Comprehensive Predictor exam.</w:t>
      </w:r>
      <w:r w:rsidR="00E9291B" w:rsidRPr="005059C4">
        <w:rPr>
          <w:sz w:val="20"/>
          <w:szCs w:val="20"/>
        </w:rPr>
        <w:t xml:space="preserve"> </w:t>
      </w:r>
      <w:r w:rsidR="00B413FE" w:rsidRPr="005059C4">
        <w:rPr>
          <w:sz w:val="20"/>
          <w:szCs w:val="20"/>
        </w:rPr>
        <w:t xml:space="preserve">If the students are passing the ATI Comprehensive Predictor exam which incorporates pharmacology, is it necessary to administer the additional ATI RN Pharmacology examination. </w:t>
      </w:r>
    </w:p>
    <w:p w14:paraId="2A2150F8" w14:textId="787EAD0D" w:rsidR="008003B7" w:rsidRPr="005059C4" w:rsidRDefault="00B413FE" w:rsidP="00DF14EA">
      <w:pPr>
        <w:contextualSpacing/>
        <w:mirrorIndents/>
        <w:jc w:val="both"/>
        <w:rPr>
          <w:rFonts w:eastAsia="Calibri"/>
          <w:sz w:val="20"/>
          <w:szCs w:val="20"/>
        </w:rPr>
      </w:pPr>
      <w:r w:rsidRPr="00252DFA">
        <w:rPr>
          <w:b/>
          <w:bCs/>
          <w:sz w:val="20"/>
          <w:szCs w:val="20"/>
        </w:rPr>
        <w:t>Purpose</w:t>
      </w:r>
      <w:r w:rsidRPr="00252DFA">
        <w:rPr>
          <w:b/>
          <w:sz w:val="20"/>
          <w:szCs w:val="20"/>
        </w:rPr>
        <w:t>:</w:t>
      </w:r>
      <w:r w:rsidRPr="005059C4">
        <w:rPr>
          <w:sz w:val="20"/>
          <w:szCs w:val="20"/>
        </w:rPr>
        <w:t xml:space="preserve"> </w:t>
      </w:r>
      <w:r w:rsidRPr="005059C4">
        <w:rPr>
          <w:rFonts w:eastAsia="Calibri"/>
          <w:sz w:val="20"/>
          <w:szCs w:val="20"/>
        </w:rPr>
        <w:t>The purpose of this research is to identify the effectiveness and relevance of</w:t>
      </w:r>
      <w:r w:rsidRPr="005059C4">
        <w:rPr>
          <w:sz w:val="20"/>
          <w:szCs w:val="20"/>
        </w:rPr>
        <w:t xml:space="preserve"> </w:t>
      </w:r>
      <w:r w:rsidRPr="005059C4">
        <w:rPr>
          <w:rFonts w:eastAsia="Calibri"/>
          <w:sz w:val="20"/>
          <w:szCs w:val="20"/>
        </w:rPr>
        <w:t>administering both examinations to assess the</w:t>
      </w:r>
      <w:r w:rsidRPr="005059C4">
        <w:rPr>
          <w:sz w:val="20"/>
          <w:szCs w:val="20"/>
        </w:rPr>
        <w:t xml:space="preserve"> student’s knowledge of </w:t>
      </w:r>
      <w:r w:rsidRPr="005059C4">
        <w:rPr>
          <w:rFonts w:eastAsia="Calibri"/>
          <w:sz w:val="20"/>
          <w:szCs w:val="20"/>
        </w:rPr>
        <w:t xml:space="preserve">pharmacology content at </w:t>
      </w:r>
      <w:r w:rsidR="00DD2360" w:rsidRPr="005059C4">
        <w:rPr>
          <w:rFonts w:eastAsia="Calibri"/>
          <w:sz w:val="20"/>
          <w:szCs w:val="20"/>
        </w:rPr>
        <w:t>the end of the nursing program.</w:t>
      </w:r>
    </w:p>
    <w:p w14:paraId="0327BBEF" w14:textId="3147E80B" w:rsidR="008003B7" w:rsidRPr="005059C4" w:rsidRDefault="008003B7" w:rsidP="00DF14EA">
      <w:pPr>
        <w:contextualSpacing/>
        <w:mirrorIndents/>
        <w:jc w:val="both"/>
        <w:rPr>
          <w:rStyle w:val="normaltextrun"/>
          <w:rFonts w:eastAsiaTheme="majorEastAsia"/>
          <w:sz w:val="20"/>
          <w:szCs w:val="20"/>
        </w:rPr>
      </w:pPr>
      <w:r w:rsidRPr="000D0FE9">
        <w:rPr>
          <w:b/>
          <w:sz w:val="20"/>
          <w:szCs w:val="20"/>
          <w:shd w:val="clear" w:color="auto" w:fill="FFFFFF"/>
        </w:rPr>
        <w:t>Research questions</w:t>
      </w:r>
      <w:r w:rsidR="00252DFA" w:rsidRPr="000D0FE9">
        <w:rPr>
          <w:b/>
          <w:sz w:val="20"/>
          <w:szCs w:val="20"/>
          <w:shd w:val="clear" w:color="auto" w:fill="FFFFFF"/>
        </w:rPr>
        <w:t>:</w:t>
      </w:r>
      <w:r w:rsidR="00252DFA">
        <w:rPr>
          <w:sz w:val="20"/>
          <w:szCs w:val="20"/>
          <w:shd w:val="clear" w:color="auto" w:fill="FFFFFF"/>
        </w:rPr>
        <w:t xml:space="preserve"> </w:t>
      </w:r>
      <w:r w:rsidRPr="005059C4">
        <w:rPr>
          <w:rStyle w:val="normaltextrun"/>
          <w:rFonts w:eastAsiaTheme="majorEastAsia"/>
          <w:sz w:val="20"/>
          <w:szCs w:val="20"/>
        </w:rPr>
        <w:t>Does the ATI Pharmacology examination provide an accurate assessment of the pharmacology content? Do the results correlate with the students’ performance on the ATI Comprehensive examination?</w:t>
      </w:r>
    </w:p>
    <w:p w14:paraId="512E3FBA" w14:textId="74170B86" w:rsidR="00DD2360" w:rsidRPr="005059C4" w:rsidRDefault="00B413FE" w:rsidP="00DF14EA">
      <w:pPr>
        <w:contextualSpacing/>
        <w:mirrorIndents/>
        <w:jc w:val="both"/>
        <w:rPr>
          <w:sz w:val="20"/>
          <w:szCs w:val="20"/>
        </w:rPr>
      </w:pPr>
      <w:r w:rsidRPr="00252DFA">
        <w:rPr>
          <w:b/>
          <w:bCs/>
          <w:sz w:val="20"/>
          <w:szCs w:val="20"/>
        </w:rPr>
        <w:t>Method</w:t>
      </w:r>
      <w:r w:rsidR="008003B7" w:rsidRPr="00252DFA">
        <w:rPr>
          <w:b/>
          <w:bCs/>
          <w:sz w:val="20"/>
          <w:szCs w:val="20"/>
        </w:rPr>
        <w:t>s</w:t>
      </w:r>
      <w:r w:rsidRPr="00252DFA">
        <w:rPr>
          <w:b/>
          <w:sz w:val="20"/>
          <w:szCs w:val="20"/>
        </w:rPr>
        <w:t>:</w:t>
      </w:r>
      <w:r w:rsidRPr="005059C4">
        <w:rPr>
          <w:sz w:val="20"/>
          <w:szCs w:val="20"/>
        </w:rPr>
        <w:t xml:space="preserve"> Nursing faculty participated in a one-hour meeting to discuss two cohort group scores of the two pharmacology summative assessments, read an excerpt and reviewed a video on summative assessment. A quantitative study was utilized to analyze the data.</w:t>
      </w:r>
    </w:p>
    <w:p w14:paraId="448A2773" w14:textId="4E0AD8CF" w:rsidR="00DD2360" w:rsidRPr="005059C4" w:rsidRDefault="008003B7" w:rsidP="00DF14EA">
      <w:pPr>
        <w:contextualSpacing/>
        <w:mirrorIndents/>
        <w:jc w:val="both"/>
        <w:rPr>
          <w:rFonts w:eastAsia="Calibri"/>
          <w:bCs/>
          <w:sz w:val="20"/>
          <w:szCs w:val="20"/>
        </w:rPr>
      </w:pPr>
      <w:r w:rsidRPr="008D000E">
        <w:rPr>
          <w:b/>
          <w:bCs/>
          <w:sz w:val="20"/>
          <w:szCs w:val="20"/>
        </w:rPr>
        <w:t>Results</w:t>
      </w:r>
      <w:r w:rsidR="00B413FE" w:rsidRPr="008D000E">
        <w:rPr>
          <w:b/>
          <w:sz w:val="20"/>
          <w:szCs w:val="20"/>
        </w:rPr>
        <w:t>:</w:t>
      </w:r>
      <w:r w:rsidR="00B413FE" w:rsidRPr="005059C4">
        <w:rPr>
          <w:sz w:val="20"/>
          <w:szCs w:val="20"/>
        </w:rPr>
        <w:t xml:space="preserve"> The results of the post aggregated scores identified that the ATI RN pharmacology exam scores had no significant effect on the student’s performance on the pharmacology content on the ATI RN Comprehensive Predictor examination. There were two cohorts consisting of 37 students in the spring and </w:t>
      </w:r>
      <w:r w:rsidR="002005C7" w:rsidRPr="005059C4">
        <w:rPr>
          <w:sz w:val="20"/>
          <w:szCs w:val="20"/>
        </w:rPr>
        <w:t>41</w:t>
      </w:r>
      <w:r w:rsidR="00B413FE" w:rsidRPr="005059C4">
        <w:rPr>
          <w:sz w:val="20"/>
          <w:szCs w:val="20"/>
        </w:rPr>
        <w:t xml:space="preserve"> students in the fall semester. Both cohorts scored higher</w:t>
      </w:r>
      <w:r w:rsidR="00B413FE" w:rsidRPr="005059C4">
        <w:rPr>
          <w:color w:val="FF0000"/>
          <w:sz w:val="20"/>
          <w:szCs w:val="20"/>
        </w:rPr>
        <w:t xml:space="preserve"> </w:t>
      </w:r>
      <w:r w:rsidR="00B413FE" w:rsidRPr="005059C4">
        <w:rPr>
          <w:sz w:val="20"/>
          <w:szCs w:val="20"/>
        </w:rPr>
        <w:t>on the pharmacology content of the ATI RN Comprehensive Predictor examination.</w:t>
      </w:r>
    </w:p>
    <w:p w14:paraId="623C0DF7" w14:textId="621F54DF" w:rsidR="00B413FE" w:rsidRPr="005059C4" w:rsidRDefault="00B413FE" w:rsidP="00DF14EA">
      <w:pPr>
        <w:contextualSpacing/>
        <w:mirrorIndents/>
        <w:jc w:val="both"/>
        <w:rPr>
          <w:rStyle w:val="normaltextrun"/>
          <w:rFonts w:eastAsiaTheme="majorEastAsia"/>
          <w:sz w:val="20"/>
          <w:szCs w:val="20"/>
        </w:rPr>
      </w:pPr>
      <w:r w:rsidRPr="008D000E">
        <w:rPr>
          <w:rFonts w:eastAsia="Calibri"/>
          <w:b/>
          <w:bCs/>
          <w:sz w:val="20"/>
          <w:szCs w:val="20"/>
        </w:rPr>
        <w:t>Discussions</w:t>
      </w:r>
      <w:r w:rsidRPr="008D000E">
        <w:rPr>
          <w:rFonts w:eastAsia="Calibri"/>
          <w:b/>
          <w:sz w:val="20"/>
          <w:szCs w:val="20"/>
        </w:rPr>
        <w:t>:</w:t>
      </w:r>
      <w:r w:rsidRPr="005059C4">
        <w:rPr>
          <w:rFonts w:eastAsia="Calibri"/>
          <w:sz w:val="20"/>
          <w:szCs w:val="20"/>
        </w:rPr>
        <w:t xml:space="preserve"> </w:t>
      </w:r>
      <w:r w:rsidRPr="005059C4">
        <w:rPr>
          <w:rStyle w:val="normaltextrun"/>
          <w:rFonts w:eastAsiaTheme="majorEastAsia"/>
          <w:sz w:val="20"/>
          <w:szCs w:val="20"/>
        </w:rPr>
        <w:t>Faculty addressed two questions: Does the ATI RN Pharmacology examination provide an accurate assessment of the learned content? Do the ATI RN Pharmacology results correlate with the students’ performance on the ATI RN Comprehensive Predictor examination?</w:t>
      </w:r>
    </w:p>
    <w:p w14:paraId="46FC2BD0" w14:textId="220161F1" w:rsidR="00B413FE" w:rsidRPr="005059C4" w:rsidRDefault="00B413FE" w:rsidP="00DF14EA">
      <w:pPr>
        <w:contextualSpacing/>
        <w:mirrorIndents/>
        <w:jc w:val="both"/>
        <w:rPr>
          <w:sz w:val="20"/>
          <w:szCs w:val="20"/>
        </w:rPr>
      </w:pPr>
      <w:r w:rsidRPr="008D000E">
        <w:rPr>
          <w:rFonts w:eastAsia="Calibri"/>
          <w:b/>
          <w:bCs/>
          <w:sz w:val="20"/>
          <w:szCs w:val="20"/>
        </w:rPr>
        <w:t>Conclusio</w:t>
      </w:r>
      <w:r w:rsidR="008003B7" w:rsidRPr="008D000E">
        <w:rPr>
          <w:rFonts w:eastAsia="Calibri"/>
          <w:b/>
          <w:bCs/>
          <w:sz w:val="20"/>
          <w:szCs w:val="20"/>
        </w:rPr>
        <w:t>n</w:t>
      </w:r>
      <w:r w:rsidRPr="008D000E">
        <w:rPr>
          <w:rFonts w:eastAsia="Calibri"/>
          <w:b/>
          <w:sz w:val="20"/>
          <w:szCs w:val="20"/>
        </w:rPr>
        <w:t>:</w:t>
      </w:r>
      <w:r w:rsidRPr="005059C4">
        <w:rPr>
          <w:rFonts w:eastAsia="Calibri"/>
          <w:sz w:val="20"/>
          <w:szCs w:val="20"/>
        </w:rPr>
        <w:t xml:space="preserve"> The ATI RN </w:t>
      </w:r>
      <w:r w:rsidRPr="005059C4">
        <w:rPr>
          <w:sz w:val="20"/>
          <w:szCs w:val="20"/>
        </w:rPr>
        <w:t xml:space="preserve">Pharmacology examination results may not reflect student’s knowledge of the content because the exam does not count toward program completion. Recommendations were to use the ATI RN pharmacology exam as a graded item or omit it as an additional assessment. </w:t>
      </w:r>
    </w:p>
    <w:p w14:paraId="0A37501D" w14:textId="77777777" w:rsidR="00B413FE" w:rsidRPr="005059C4" w:rsidRDefault="00B413FE" w:rsidP="00DF14EA">
      <w:pPr>
        <w:contextualSpacing/>
        <w:mirrorIndents/>
        <w:jc w:val="both"/>
        <w:rPr>
          <w:sz w:val="20"/>
          <w:szCs w:val="20"/>
        </w:rPr>
      </w:pPr>
    </w:p>
    <w:p w14:paraId="5458DF3E" w14:textId="219CDAC7" w:rsidR="00BE368A" w:rsidRPr="00177116" w:rsidRDefault="00BE368A" w:rsidP="00DF14EA">
      <w:pPr>
        <w:contextualSpacing/>
        <w:mirrorIndents/>
        <w:jc w:val="both"/>
        <w:rPr>
          <w:b/>
          <w:sz w:val="22"/>
          <w:szCs w:val="22"/>
        </w:rPr>
      </w:pPr>
      <w:r w:rsidRPr="00177116">
        <w:rPr>
          <w:b/>
          <w:sz w:val="22"/>
          <w:szCs w:val="22"/>
        </w:rPr>
        <w:t xml:space="preserve">Nature </w:t>
      </w:r>
      <w:r w:rsidR="00177116" w:rsidRPr="00177116">
        <w:rPr>
          <w:b/>
          <w:sz w:val="22"/>
          <w:szCs w:val="22"/>
        </w:rPr>
        <w:t>o</w:t>
      </w:r>
      <w:r w:rsidR="00E2240C" w:rsidRPr="00177116">
        <w:rPr>
          <w:b/>
          <w:sz w:val="22"/>
          <w:szCs w:val="22"/>
        </w:rPr>
        <w:t xml:space="preserve">f </w:t>
      </w:r>
      <w:r w:rsidR="00177116" w:rsidRPr="00177116">
        <w:rPr>
          <w:b/>
          <w:sz w:val="22"/>
          <w:szCs w:val="22"/>
        </w:rPr>
        <w:t>t</w:t>
      </w:r>
      <w:r w:rsidR="00E2240C" w:rsidRPr="00177116">
        <w:rPr>
          <w:b/>
          <w:sz w:val="22"/>
          <w:szCs w:val="22"/>
        </w:rPr>
        <w:t>his Study</w:t>
      </w:r>
    </w:p>
    <w:p w14:paraId="3C831BF5" w14:textId="77777777" w:rsidR="007F70D1" w:rsidRPr="005059C4" w:rsidRDefault="007F70D1" w:rsidP="00DF14EA">
      <w:pPr>
        <w:contextualSpacing/>
        <w:mirrorIndents/>
        <w:jc w:val="both"/>
        <w:rPr>
          <w:sz w:val="20"/>
          <w:szCs w:val="20"/>
        </w:rPr>
      </w:pPr>
    </w:p>
    <w:p w14:paraId="3994D3FC" w14:textId="38FDA16C" w:rsidR="00BE368A" w:rsidRPr="005059C4" w:rsidRDefault="00BE368A" w:rsidP="00DF14EA">
      <w:pPr>
        <w:contextualSpacing/>
        <w:mirrorIndents/>
        <w:jc w:val="both"/>
        <w:rPr>
          <w:sz w:val="20"/>
          <w:szCs w:val="20"/>
        </w:rPr>
      </w:pPr>
      <w:r w:rsidRPr="005059C4">
        <w:rPr>
          <w:sz w:val="20"/>
          <w:szCs w:val="20"/>
        </w:rPr>
        <w:t xml:space="preserve">Nursing programs have profound differences as to how students are assessed. There are multiple assessment methods utilized throughout the curriculum to assess student’s knowledge of contents. The assessments are used to measure progress or for screening purposes to determine who might need further assessment </w:t>
      </w:r>
      <w:r w:rsidR="005C0718">
        <w:rPr>
          <w:color w:val="FF0000"/>
          <w:sz w:val="20"/>
          <w:szCs w:val="20"/>
        </w:rPr>
        <w:t>[1]</w:t>
      </w:r>
      <w:r w:rsidRPr="005059C4">
        <w:rPr>
          <w:sz w:val="20"/>
          <w:szCs w:val="20"/>
        </w:rPr>
        <w:t xml:space="preserve">. The results of these assessments may facilitate faculty to revise classroom and clinical instruction. The outcome of the assessments provide data which may impact students achieving end of the program student learning outcomes and successfully passing the National Council Licensure Exam </w:t>
      </w:r>
      <w:r w:rsidR="00EE7107" w:rsidRPr="005059C4">
        <w:rPr>
          <w:sz w:val="20"/>
          <w:szCs w:val="20"/>
        </w:rPr>
        <w:t xml:space="preserve">For Registered Nurses </w:t>
      </w:r>
      <w:r w:rsidRPr="005059C4">
        <w:rPr>
          <w:sz w:val="20"/>
          <w:szCs w:val="20"/>
        </w:rPr>
        <w:t>(NCLEX-RN)</w:t>
      </w:r>
      <w:r w:rsidR="007F68D4">
        <w:rPr>
          <w:sz w:val="20"/>
          <w:szCs w:val="20"/>
        </w:rPr>
        <w:t xml:space="preserve"> </w:t>
      </w:r>
      <w:r w:rsidR="007F68D4" w:rsidRPr="007F68D4">
        <w:rPr>
          <w:color w:val="FF0000"/>
          <w:sz w:val="20"/>
          <w:szCs w:val="20"/>
        </w:rPr>
        <w:t>[2]</w:t>
      </w:r>
      <w:r w:rsidRPr="005059C4">
        <w:rPr>
          <w:sz w:val="20"/>
          <w:szCs w:val="20"/>
        </w:rPr>
        <w:t>. </w:t>
      </w:r>
    </w:p>
    <w:p w14:paraId="19B19255" w14:textId="70192386" w:rsidR="00BE368A" w:rsidRPr="00066A81" w:rsidRDefault="00B6106D" w:rsidP="00DF14EA">
      <w:pPr>
        <w:contextualSpacing/>
        <w:mirrorIndents/>
        <w:jc w:val="both"/>
        <w:rPr>
          <w:b/>
          <w:sz w:val="22"/>
          <w:szCs w:val="22"/>
        </w:rPr>
      </w:pPr>
      <w:r w:rsidRPr="00066A81">
        <w:rPr>
          <w:b/>
          <w:sz w:val="22"/>
          <w:szCs w:val="22"/>
        </w:rPr>
        <w:lastRenderedPageBreak/>
        <w:t>Significance of the R</w:t>
      </w:r>
      <w:r w:rsidR="00BE368A" w:rsidRPr="00066A81">
        <w:rPr>
          <w:b/>
          <w:sz w:val="22"/>
          <w:szCs w:val="22"/>
        </w:rPr>
        <w:t>esearch</w:t>
      </w:r>
    </w:p>
    <w:p w14:paraId="41C8F396" w14:textId="77777777" w:rsidR="00BE368A" w:rsidRPr="005059C4" w:rsidRDefault="00BE368A" w:rsidP="00DF14EA">
      <w:pPr>
        <w:contextualSpacing/>
        <w:mirrorIndents/>
        <w:jc w:val="both"/>
        <w:rPr>
          <w:sz w:val="20"/>
          <w:szCs w:val="20"/>
        </w:rPr>
      </w:pPr>
    </w:p>
    <w:p w14:paraId="72A3D3EC" w14:textId="004A66B2" w:rsidR="00DD2360" w:rsidRDefault="00BE368A" w:rsidP="00DF14EA">
      <w:pPr>
        <w:contextualSpacing/>
        <w:mirrorIndents/>
        <w:jc w:val="both"/>
        <w:rPr>
          <w:sz w:val="20"/>
          <w:szCs w:val="20"/>
        </w:rPr>
      </w:pPr>
      <w:r w:rsidRPr="005059C4">
        <w:rPr>
          <w:sz w:val="20"/>
          <w:szCs w:val="20"/>
        </w:rPr>
        <w:t>The nursing program curriculum does not offer a separate pharmacology course. Nursing faculty adopted specific, relevant, web based, pharmacology software assists in teaching pharmacology content and medication dosage calculation for acute and chronic diseases throughout the curriculum.</w:t>
      </w:r>
      <w:r w:rsidR="00E9291B" w:rsidRPr="005059C4">
        <w:rPr>
          <w:sz w:val="20"/>
          <w:szCs w:val="20"/>
        </w:rPr>
        <w:t xml:space="preserve"> </w:t>
      </w:r>
      <w:r w:rsidRPr="005059C4">
        <w:rPr>
          <w:sz w:val="20"/>
          <w:szCs w:val="20"/>
        </w:rPr>
        <w:t>The curriculum incorporates a pharmacology learning platform that consist of evidence-based practice, educational theories, Bloom taxonomy, Maslow needs, and NCLEX-RN test plan. These platforms are part of the ongoing assessment through learning activities, clinical assignments, and course examinations. Faculty utilize competencies in nursing education to determine which assessments method will be used to determine student’s pharmacology knowledge. At the end of the program, students are administered two additional summative examinations to measure pharmacology knowledge, the Assessment Technologies Institute (ATI) RN Pharmacology and RN Comprehensive examinations.</w:t>
      </w:r>
    </w:p>
    <w:p w14:paraId="41525BEF" w14:textId="77777777" w:rsidR="00066A81" w:rsidRPr="005059C4" w:rsidRDefault="00066A81" w:rsidP="00DF14EA">
      <w:pPr>
        <w:contextualSpacing/>
        <w:mirrorIndents/>
        <w:jc w:val="both"/>
        <w:rPr>
          <w:sz w:val="20"/>
          <w:szCs w:val="20"/>
        </w:rPr>
      </w:pPr>
    </w:p>
    <w:p w14:paraId="0D0B940D" w14:textId="77777777" w:rsidR="00C61026" w:rsidRPr="005059C4" w:rsidRDefault="00C61026" w:rsidP="00066A81">
      <w:pPr>
        <w:contextualSpacing/>
        <w:mirrorIndents/>
        <w:jc w:val="center"/>
        <w:rPr>
          <w:sz w:val="20"/>
          <w:szCs w:val="20"/>
        </w:rPr>
      </w:pPr>
      <w:r w:rsidRPr="005059C4">
        <w:rPr>
          <w:noProof/>
          <w:sz w:val="20"/>
          <w:szCs w:val="20"/>
        </w:rPr>
        <w:drawing>
          <wp:inline distT="0" distB="0" distL="0" distR="0" wp14:anchorId="7D7445B6" wp14:editId="70A34BB4">
            <wp:extent cx="2743200" cy="1645920"/>
            <wp:effectExtent l="0" t="0" r="0" b="11430"/>
            <wp:docPr id="6" name="Chart 6">
              <a:extLst xmlns:a="http://schemas.openxmlformats.org/drawingml/2006/main">
                <a:ext uri="{FF2B5EF4-FFF2-40B4-BE49-F238E27FC236}">
                  <a16:creationId xmlns:a16="http://schemas.microsoft.com/office/drawing/2014/main" id="{44A33597-8CD8-412D-8A09-D46593AE8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27B00A" w14:textId="77777777" w:rsidR="00DD2360" w:rsidRPr="005059C4" w:rsidRDefault="00DD2360" w:rsidP="00DF14EA">
      <w:pPr>
        <w:contextualSpacing/>
        <w:mirrorIndents/>
        <w:jc w:val="both"/>
        <w:rPr>
          <w:sz w:val="20"/>
          <w:szCs w:val="20"/>
        </w:rPr>
      </w:pPr>
    </w:p>
    <w:p w14:paraId="2A1D99B0" w14:textId="77777777" w:rsidR="00C61026" w:rsidRPr="005059C4" w:rsidRDefault="00C61026" w:rsidP="00B66614">
      <w:pPr>
        <w:contextualSpacing/>
        <w:mirrorIndents/>
        <w:jc w:val="center"/>
        <w:rPr>
          <w:sz w:val="20"/>
          <w:szCs w:val="20"/>
        </w:rPr>
      </w:pPr>
      <w:r w:rsidRPr="00B66614">
        <w:rPr>
          <w:b/>
          <w:sz w:val="20"/>
          <w:szCs w:val="20"/>
        </w:rPr>
        <w:t>Figure 1:</w:t>
      </w:r>
      <w:r w:rsidRPr="005059C4">
        <w:rPr>
          <w:sz w:val="20"/>
          <w:szCs w:val="20"/>
        </w:rPr>
        <w:t xml:space="preserve"> The differences of aggregated scores on ATI Pharmacology and Comprehensive examinations.</w:t>
      </w:r>
    </w:p>
    <w:p w14:paraId="60061E4C" w14:textId="77777777" w:rsidR="00C61026" w:rsidRPr="005059C4" w:rsidRDefault="00C61026" w:rsidP="00DF14EA">
      <w:pPr>
        <w:contextualSpacing/>
        <w:mirrorIndents/>
        <w:jc w:val="both"/>
        <w:rPr>
          <w:sz w:val="20"/>
          <w:szCs w:val="20"/>
        </w:rPr>
      </w:pPr>
    </w:p>
    <w:p w14:paraId="727F4D9C" w14:textId="0F9DAC2E" w:rsidR="006708E9" w:rsidRPr="00B77DE6" w:rsidRDefault="00BE368A" w:rsidP="00DF14EA">
      <w:pPr>
        <w:contextualSpacing/>
        <w:mirrorIndents/>
        <w:jc w:val="both"/>
        <w:rPr>
          <w:b/>
          <w:sz w:val="22"/>
          <w:szCs w:val="22"/>
        </w:rPr>
      </w:pPr>
      <w:r w:rsidRPr="00B77DE6">
        <w:rPr>
          <w:b/>
          <w:sz w:val="22"/>
          <w:szCs w:val="22"/>
        </w:rPr>
        <w:t>Literature Review</w:t>
      </w:r>
    </w:p>
    <w:p w14:paraId="2EE32619" w14:textId="77777777" w:rsidR="00066A81" w:rsidRPr="005059C4" w:rsidRDefault="00066A81" w:rsidP="00DF14EA">
      <w:pPr>
        <w:contextualSpacing/>
        <w:mirrorIndents/>
        <w:jc w:val="both"/>
        <w:rPr>
          <w:sz w:val="20"/>
          <w:szCs w:val="20"/>
        </w:rPr>
      </w:pPr>
    </w:p>
    <w:p w14:paraId="3F93B26E" w14:textId="3F82EEAD" w:rsidR="00066A81" w:rsidRPr="00B77DE6" w:rsidRDefault="00BE368A" w:rsidP="00DF14EA">
      <w:pPr>
        <w:contextualSpacing/>
        <w:mirrorIndents/>
        <w:jc w:val="both"/>
        <w:rPr>
          <w:b/>
          <w:sz w:val="20"/>
          <w:szCs w:val="20"/>
        </w:rPr>
      </w:pPr>
      <w:r w:rsidRPr="00B77DE6">
        <w:rPr>
          <w:b/>
          <w:bCs/>
          <w:sz w:val="20"/>
          <w:szCs w:val="20"/>
        </w:rPr>
        <w:t>Evidenced</w:t>
      </w:r>
      <w:r w:rsidR="00B77DE6" w:rsidRPr="00B77DE6">
        <w:rPr>
          <w:b/>
          <w:bCs/>
          <w:sz w:val="20"/>
          <w:szCs w:val="20"/>
        </w:rPr>
        <w:t>-Based Practice</w:t>
      </w:r>
    </w:p>
    <w:p w14:paraId="174D804C" w14:textId="77777777" w:rsidR="00066A81" w:rsidRPr="005059C4" w:rsidRDefault="00066A81" w:rsidP="00DF14EA">
      <w:pPr>
        <w:contextualSpacing/>
        <w:mirrorIndents/>
        <w:jc w:val="both"/>
        <w:rPr>
          <w:sz w:val="20"/>
          <w:szCs w:val="20"/>
        </w:rPr>
      </w:pPr>
    </w:p>
    <w:p w14:paraId="0DD88249" w14:textId="5DC04003" w:rsidR="00BE368A" w:rsidRDefault="00BE368A" w:rsidP="00DF14EA">
      <w:pPr>
        <w:contextualSpacing/>
        <w:mirrorIndents/>
        <w:jc w:val="both"/>
        <w:rPr>
          <w:sz w:val="20"/>
          <w:szCs w:val="20"/>
        </w:rPr>
      </w:pPr>
      <w:r w:rsidRPr="005059C4">
        <w:rPr>
          <w:sz w:val="20"/>
          <w:szCs w:val="20"/>
        </w:rPr>
        <w:t xml:space="preserve">There are many evidenced-based practices strategies to teach content, but there is no literature review to identify the best teaching strategies </w:t>
      </w:r>
      <w:r w:rsidR="00F8646E">
        <w:rPr>
          <w:color w:val="FF0000"/>
          <w:sz w:val="20"/>
          <w:szCs w:val="20"/>
        </w:rPr>
        <w:t>[3]</w:t>
      </w:r>
      <w:r w:rsidRPr="005059C4">
        <w:rPr>
          <w:sz w:val="20"/>
          <w:szCs w:val="20"/>
        </w:rPr>
        <w:t>. Because of this, it is essential that faculty keep abreast of evidence-based practice strategies for implementing pharmacology content in a curriculum that does not offer a separate Pharmacology course. </w:t>
      </w:r>
    </w:p>
    <w:p w14:paraId="09603AFF" w14:textId="77777777" w:rsidR="00066A81" w:rsidRPr="005059C4" w:rsidRDefault="00066A81" w:rsidP="00DF14EA">
      <w:pPr>
        <w:contextualSpacing/>
        <w:mirrorIndents/>
        <w:jc w:val="both"/>
        <w:rPr>
          <w:sz w:val="20"/>
          <w:szCs w:val="20"/>
        </w:rPr>
      </w:pPr>
    </w:p>
    <w:p w14:paraId="5A8DEBCF" w14:textId="77777777" w:rsidR="00BE368A" w:rsidRPr="005059C4" w:rsidRDefault="00BE368A" w:rsidP="00DF14EA">
      <w:pPr>
        <w:contextualSpacing/>
        <w:mirrorIndents/>
        <w:jc w:val="both"/>
        <w:rPr>
          <w:sz w:val="20"/>
          <w:szCs w:val="20"/>
        </w:rPr>
      </w:pPr>
      <w:r w:rsidRPr="005059C4">
        <w:rPr>
          <w:sz w:val="20"/>
          <w:szCs w:val="20"/>
        </w:rPr>
        <w:t>Dosage calculations textbooks, other nursing programs pharmacology course objectives, and educational software are used to assist in developing pharmacology unit objectives. Due to the importance of pharmacology, the content is introduced in the first semester, fundamental nursing course. A detailed, online medication learning activities, skills laboratory practice, course examinations, and dosage calculations in classroom and clinical instructions</w:t>
      </w:r>
      <w:r w:rsidRPr="005059C4">
        <w:rPr>
          <w:color w:val="FF0000"/>
          <w:sz w:val="20"/>
          <w:szCs w:val="20"/>
        </w:rPr>
        <w:t xml:space="preserve"> </w:t>
      </w:r>
      <w:r w:rsidRPr="005059C4">
        <w:rPr>
          <w:sz w:val="20"/>
          <w:szCs w:val="20"/>
        </w:rPr>
        <w:t>are included in this course.</w:t>
      </w:r>
      <w:r w:rsidR="00E9291B" w:rsidRPr="005059C4">
        <w:rPr>
          <w:sz w:val="20"/>
          <w:szCs w:val="20"/>
        </w:rPr>
        <w:t xml:space="preserve"> </w:t>
      </w:r>
      <w:r w:rsidRPr="005059C4">
        <w:rPr>
          <w:sz w:val="20"/>
          <w:szCs w:val="20"/>
        </w:rPr>
        <w:t>In addition, similar activities and objectives are integrated in each course in the nursing program.</w:t>
      </w:r>
    </w:p>
    <w:p w14:paraId="4B94D5A5" w14:textId="77777777" w:rsidR="00DD2360" w:rsidRPr="005059C4" w:rsidRDefault="00DD2360" w:rsidP="00DF14EA">
      <w:pPr>
        <w:contextualSpacing/>
        <w:mirrorIndents/>
        <w:jc w:val="both"/>
        <w:rPr>
          <w:sz w:val="20"/>
          <w:szCs w:val="20"/>
        </w:rPr>
      </w:pPr>
    </w:p>
    <w:p w14:paraId="3838BB61" w14:textId="0E11FAAC" w:rsidR="00066A81" w:rsidRDefault="00BE368A" w:rsidP="00DF14EA">
      <w:pPr>
        <w:contextualSpacing/>
        <w:mirrorIndents/>
        <w:jc w:val="both"/>
        <w:rPr>
          <w:b/>
          <w:bCs/>
          <w:sz w:val="20"/>
          <w:szCs w:val="20"/>
        </w:rPr>
      </w:pPr>
      <w:r w:rsidRPr="00F37149">
        <w:rPr>
          <w:b/>
          <w:bCs/>
          <w:sz w:val="20"/>
          <w:szCs w:val="20"/>
        </w:rPr>
        <w:t xml:space="preserve">Educational </w:t>
      </w:r>
      <w:r w:rsidR="00F37149" w:rsidRPr="00F37149">
        <w:rPr>
          <w:b/>
          <w:bCs/>
          <w:sz w:val="20"/>
          <w:szCs w:val="20"/>
        </w:rPr>
        <w:t>Theories</w:t>
      </w:r>
    </w:p>
    <w:p w14:paraId="62CA51E1" w14:textId="77777777" w:rsidR="00F37149" w:rsidRPr="00F37149" w:rsidRDefault="00F37149" w:rsidP="00DF14EA">
      <w:pPr>
        <w:contextualSpacing/>
        <w:mirrorIndents/>
        <w:jc w:val="both"/>
        <w:rPr>
          <w:sz w:val="20"/>
          <w:szCs w:val="20"/>
        </w:rPr>
      </w:pPr>
    </w:p>
    <w:p w14:paraId="208884D6" w14:textId="26E7F500" w:rsidR="00BE368A" w:rsidRDefault="00BE368A" w:rsidP="00DF14EA">
      <w:pPr>
        <w:contextualSpacing/>
        <w:mirrorIndents/>
        <w:jc w:val="both"/>
        <w:rPr>
          <w:sz w:val="20"/>
          <w:szCs w:val="20"/>
        </w:rPr>
      </w:pPr>
      <w:r w:rsidRPr="005059C4">
        <w:rPr>
          <w:sz w:val="20"/>
          <w:szCs w:val="20"/>
        </w:rPr>
        <w:t xml:space="preserve">The way students attain knowledge continues to evolve with most of the learning involving the use of technology that consists of uploaded documents, articles, audio, and video clips in the Learning Management Systems (LMS). This </w:t>
      </w:r>
      <w:r w:rsidR="1D62EDCB" w:rsidRPr="005059C4">
        <w:rPr>
          <w:sz w:val="20"/>
          <w:szCs w:val="20"/>
        </w:rPr>
        <w:t>allows</w:t>
      </w:r>
      <w:r w:rsidRPr="005059C4">
        <w:rPr>
          <w:sz w:val="20"/>
          <w:szCs w:val="20"/>
        </w:rPr>
        <w:t xml:space="preserve"> students to learn at any time or place </w:t>
      </w:r>
      <w:r w:rsidR="00AE73EB">
        <w:rPr>
          <w:color w:val="FF0000"/>
          <w:sz w:val="20"/>
          <w:szCs w:val="20"/>
        </w:rPr>
        <w:t>[4]</w:t>
      </w:r>
      <w:r w:rsidRPr="005059C4">
        <w:rPr>
          <w:sz w:val="20"/>
          <w:szCs w:val="20"/>
        </w:rPr>
        <w:t>.</w:t>
      </w:r>
      <w:r w:rsidR="00E9291B" w:rsidRPr="005059C4">
        <w:rPr>
          <w:sz w:val="20"/>
          <w:szCs w:val="20"/>
        </w:rPr>
        <w:t xml:space="preserve"> </w:t>
      </w:r>
    </w:p>
    <w:p w14:paraId="1B5E61B5" w14:textId="77777777" w:rsidR="00B55B5F" w:rsidRPr="005059C4" w:rsidRDefault="00B55B5F" w:rsidP="00DF14EA">
      <w:pPr>
        <w:contextualSpacing/>
        <w:mirrorIndents/>
        <w:jc w:val="both"/>
        <w:rPr>
          <w:sz w:val="20"/>
          <w:szCs w:val="20"/>
        </w:rPr>
      </w:pPr>
    </w:p>
    <w:p w14:paraId="11F2480F" w14:textId="77241D30" w:rsidR="00066A81" w:rsidRDefault="00BE368A" w:rsidP="00DF14EA">
      <w:pPr>
        <w:contextualSpacing/>
        <w:mirrorIndents/>
        <w:jc w:val="both"/>
        <w:rPr>
          <w:sz w:val="20"/>
          <w:szCs w:val="20"/>
        </w:rPr>
      </w:pPr>
      <w:r w:rsidRPr="005059C4">
        <w:rPr>
          <w:sz w:val="20"/>
          <w:szCs w:val="20"/>
        </w:rPr>
        <w:t xml:space="preserve">The requirement of learning various learning systems can be difficult and overwhelming for some faculty. To reduce barriers of using adopted software and LMS, </w:t>
      </w:r>
      <w:r w:rsidRPr="00917ED6">
        <w:rPr>
          <w:sz w:val="20"/>
          <w:szCs w:val="20"/>
        </w:rPr>
        <w:t xml:space="preserve">Kurt Lewis </w:t>
      </w:r>
      <w:r w:rsidR="00917ED6">
        <w:rPr>
          <w:color w:val="FF0000"/>
          <w:sz w:val="20"/>
          <w:szCs w:val="20"/>
        </w:rPr>
        <w:t>[5]</w:t>
      </w:r>
      <w:r w:rsidRPr="005059C4">
        <w:rPr>
          <w:color w:val="FF0000"/>
          <w:sz w:val="20"/>
          <w:szCs w:val="20"/>
        </w:rPr>
        <w:t xml:space="preserve"> </w:t>
      </w:r>
      <w:r w:rsidRPr="005059C4">
        <w:rPr>
          <w:sz w:val="20"/>
          <w:szCs w:val="20"/>
        </w:rPr>
        <w:t>Change Theory can be utilized as a framework to influence faculty adoption of various strategies to teach Pharmacology and to reassess its use.</w:t>
      </w:r>
    </w:p>
    <w:p w14:paraId="5FF971CE" w14:textId="73795D04" w:rsidR="00BE368A" w:rsidRPr="005059C4" w:rsidRDefault="00BE368A" w:rsidP="00DF14EA">
      <w:pPr>
        <w:contextualSpacing/>
        <w:mirrorIndents/>
        <w:jc w:val="both"/>
        <w:rPr>
          <w:sz w:val="20"/>
          <w:szCs w:val="20"/>
        </w:rPr>
      </w:pPr>
      <w:r w:rsidRPr="005059C4">
        <w:rPr>
          <w:sz w:val="20"/>
          <w:szCs w:val="20"/>
        </w:rPr>
        <w:t xml:space="preserve"> </w:t>
      </w:r>
    </w:p>
    <w:p w14:paraId="57AD3398" w14:textId="016F698B" w:rsidR="00066A81" w:rsidRDefault="00BE368A" w:rsidP="00DF14EA">
      <w:pPr>
        <w:contextualSpacing/>
        <w:mirrorIndents/>
        <w:jc w:val="both"/>
        <w:rPr>
          <w:b/>
          <w:bCs/>
          <w:sz w:val="20"/>
          <w:szCs w:val="20"/>
        </w:rPr>
      </w:pPr>
      <w:r w:rsidRPr="000625DB">
        <w:rPr>
          <w:b/>
          <w:bCs/>
          <w:sz w:val="20"/>
          <w:szCs w:val="20"/>
        </w:rPr>
        <w:t>Blooms Taxonomy</w:t>
      </w:r>
    </w:p>
    <w:p w14:paraId="2A30A52E" w14:textId="77777777" w:rsidR="000625DB" w:rsidRPr="000625DB" w:rsidRDefault="000625DB" w:rsidP="00DF14EA">
      <w:pPr>
        <w:contextualSpacing/>
        <w:mirrorIndents/>
        <w:jc w:val="both"/>
        <w:rPr>
          <w:sz w:val="20"/>
          <w:szCs w:val="20"/>
        </w:rPr>
      </w:pPr>
    </w:p>
    <w:p w14:paraId="58B5485C" w14:textId="2AA130E7" w:rsidR="00BE368A" w:rsidRDefault="00BE368A" w:rsidP="00DF14EA">
      <w:pPr>
        <w:contextualSpacing/>
        <w:mirrorIndents/>
        <w:jc w:val="both"/>
        <w:rPr>
          <w:sz w:val="20"/>
          <w:szCs w:val="20"/>
        </w:rPr>
      </w:pPr>
      <w:r w:rsidRPr="005059C4">
        <w:rPr>
          <w:sz w:val="20"/>
          <w:szCs w:val="20"/>
        </w:rPr>
        <w:t xml:space="preserve">There are three levels of domains (cognitive, affective, and psychomotor) that can be used to learn pharmacological content. Cognitive domain involves integrating pharmacological content using some form of </w:t>
      </w:r>
      <w:r w:rsidRPr="005059C4">
        <w:rPr>
          <w:sz w:val="20"/>
          <w:szCs w:val="20"/>
        </w:rPr>
        <w:lastRenderedPageBreak/>
        <w:t xml:space="preserve">technology platform. The Learning Management System (LMS) allow students to post discussions of health conditions and medications associated with the diseases. </w:t>
      </w:r>
    </w:p>
    <w:p w14:paraId="04DDC9DD" w14:textId="77777777" w:rsidR="00066A81" w:rsidRPr="005059C4" w:rsidRDefault="00066A81" w:rsidP="00DF14EA">
      <w:pPr>
        <w:contextualSpacing/>
        <w:mirrorIndents/>
        <w:jc w:val="both"/>
        <w:rPr>
          <w:sz w:val="20"/>
          <w:szCs w:val="20"/>
        </w:rPr>
      </w:pPr>
    </w:p>
    <w:p w14:paraId="043E6975" w14:textId="5E346E56" w:rsidR="00BE368A" w:rsidRDefault="00BE368A" w:rsidP="00DF14EA">
      <w:pPr>
        <w:contextualSpacing/>
        <w:mirrorIndents/>
        <w:jc w:val="both"/>
        <w:rPr>
          <w:sz w:val="20"/>
          <w:szCs w:val="20"/>
        </w:rPr>
      </w:pPr>
      <w:r w:rsidRPr="005059C4">
        <w:rPr>
          <w:sz w:val="20"/>
          <w:szCs w:val="20"/>
        </w:rPr>
        <w:t xml:space="preserve">The affective domain interventions using moral and ethical principles can have a favorable impact on clients </w:t>
      </w:r>
      <w:r w:rsidR="004A210F">
        <w:rPr>
          <w:color w:val="FF0000"/>
          <w:sz w:val="20"/>
          <w:szCs w:val="20"/>
        </w:rPr>
        <w:t>[6]</w:t>
      </w:r>
      <w:r w:rsidRPr="005059C4">
        <w:rPr>
          <w:sz w:val="20"/>
          <w:szCs w:val="20"/>
        </w:rPr>
        <w:t>.</w:t>
      </w:r>
      <w:r w:rsidR="00E9291B" w:rsidRPr="005059C4">
        <w:rPr>
          <w:sz w:val="20"/>
          <w:szCs w:val="20"/>
        </w:rPr>
        <w:t xml:space="preserve"> </w:t>
      </w:r>
      <w:r w:rsidRPr="005059C4">
        <w:rPr>
          <w:sz w:val="20"/>
          <w:szCs w:val="20"/>
        </w:rPr>
        <w:t xml:space="preserve">Prelicensure nurses are informed that nurses have accountability to the society. The standard of accountability through formal codes of ethics explicitly </w:t>
      </w:r>
      <w:r w:rsidR="4526E665" w:rsidRPr="005059C4">
        <w:rPr>
          <w:sz w:val="20"/>
          <w:szCs w:val="20"/>
        </w:rPr>
        <w:t>states</w:t>
      </w:r>
      <w:r w:rsidRPr="005059C4">
        <w:rPr>
          <w:sz w:val="20"/>
          <w:szCs w:val="20"/>
        </w:rPr>
        <w:t xml:space="preserve"> the profession goals and values </w:t>
      </w:r>
      <w:r w:rsidR="0013700F">
        <w:rPr>
          <w:color w:val="FF0000"/>
          <w:sz w:val="20"/>
          <w:szCs w:val="20"/>
        </w:rPr>
        <w:t>[7]</w:t>
      </w:r>
      <w:r w:rsidRPr="005059C4">
        <w:rPr>
          <w:sz w:val="20"/>
          <w:szCs w:val="20"/>
        </w:rPr>
        <w:t xml:space="preserve">. Moral and ethical responsibilities require nurses to have knowledge of pharmacological implications, effects, and contraindications before administering medications to patients. </w:t>
      </w:r>
    </w:p>
    <w:p w14:paraId="64AF41B8" w14:textId="77777777" w:rsidR="00B635F1" w:rsidRPr="005059C4" w:rsidRDefault="00B635F1" w:rsidP="00DF14EA">
      <w:pPr>
        <w:contextualSpacing/>
        <w:mirrorIndents/>
        <w:jc w:val="both"/>
        <w:rPr>
          <w:sz w:val="20"/>
          <w:szCs w:val="20"/>
        </w:rPr>
      </w:pPr>
    </w:p>
    <w:p w14:paraId="2C1FB5CE" w14:textId="77777777" w:rsidR="00BE368A" w:rsidRPr="005059C4" w:rsidRDefault="00BE368A" w:rsidP="00DF14EA">
      <w:pPr>
        <w:contextualSpacing/>
        <w:mirrorIndents/>
        <w:jc w:val="both"/>
        <w:rPr>
          <w:sz w:val="20"/>
          <w:szCs w:val="20"/>
        </w:rPr>
      </w:pPr>
      <w:r w:rsidRPr="005059C4">
        <w:rPr>
          <w:sz w:val="20"/>
          <w:szCs w:val="20"/>
        </w:rPr>
        <w:t>Students are required to review assigned videos and demonstrate satisfactory psychomotor skills of administering medications using ATI resources. Prior to performing skills in the clinical environment, student's pharmacological knowledge and skills in the nursing laboratory are practiced and assessed.</w:t>
      </w:r>
    </w:p>
    <w:p w14:paraId="62486C05" w14:textId="77777777" w:rsidR="00DD2360" w:rsidRPr="005059C4" w:rsidRDefault="00DD2360" w:rsidP="00DF14EA">
      <w:pPr>
        <w:contextualSpacing/>
        <w:mirrorIndents/>
        <w:jc w:val="both"/>
        <w:rPr>
          <w:sz w:val="20"/>
          <w:szCs w:val="20"/>
        </w:rPr>
      </w:pPr>
    </w:p>
    <w:p w14:paraId="5028B3D2" w14:textId="1C524BC8" w:rsidR="00066A81" w:rsidRDefault="00BE368A" w:rsidP="00DF14EA">
      <w:pPr>
        <w:contextualSpacing/>
        <w:mirrorIndents/>
        <w:jc w:val="both"/>
        <w:rPr>
          <w:b/>
          <w:bCs/>
          <w:sz w:val="20"/>
          <w:szCs w:val="20"/>
        </w:rPr>
      </w:pPr>
      <w:r w:rsidRPr="00B635F1">
        <w:rPr>
          <w:b/>
          <w:bCs/>
          <w:sz w:val="20"/>
          <w:szCs w:val="20"/>
        </w:rPr>
        <w:t>Maslow</w:t>
      </w:r>
    </w:p>
    <w:p w14:paraId="1C31FA1F" w14:textId="77777777" w:rsidR="00B635F1" w:rsidRPr="00B635F1" w:rsidRDefault="00B635F1" w:rsidP="00DF14EA">
      <w:pPr>
        <w:contextualSpacing/>
        <w:mirrorIndents/>
        <w:jc w:val="both"/>
        <w:rPr>
          <w:sz w:val="20"/>
          <w:szCs w:val="20"/>
        </w:rPr>
      </w:pPr>
    </w:p>
    <w:p w14:paraId="164DE5DB" w14:textId="74D9EEF5" w:rsidR="00066A81" w:rsidRDefault="00BE368A" w:rsidP="00DF14EA">
      <w:pPr>
        <w:contextualSpacing/>
        <w:mirrorIndents/>
        <w:jc w:val="both"/>
        <w:rPr>
          <w:sz w:val="20"/>
          <w:szCs w:val="20"/>
        </w:rPr>
      </w:pPr>
      <w:r w:rsidRPr="005059C4">
        <w:rPr>
          <w:sz w:val="20"/>
          <w:szCs w:val="20"/>
        </w:rPr>
        <w:t xml:space="preserve">Safety is one of the essential components of Maslow's Hierarchy needs. Safety is threatened if students fail to demonstrate a sufficient knowledge of pharmacology content which can prevent medication errors. The Joint Commission on Patient's Safety Goal emphasizes the importance of communicating and verifying medications to prevent errors and duplications </w:t>
      </w:r>
      <w:r w:rsidR="009F61FD">
        <w:rPr>
          <w:color w:val="FF0000"/>
          <w:sz w:val="20"/>
          <w:szCs w:val="20"/>
        </w:rPr>
        <w:t>[8]</w:t>
      </w:r>
      <w:r w:rsidRPr="005059C4">
        <w:rPr>
          <w:sz w:val="20"/>
          <w:szCs w:val="20"/>
        </w:rPr>
        <w:t xml:space="preserve">. Fundamental courses focus on safe administration of medication by stating the rights of medication administration. </w:t>
      </w:r>
    </w:p>
    <w:p w14:paraId="27713A8B" w14:textId="77777777" w:rsidR="00185C6C" w:rsidRPr="005059C4" w:rsidRDefault="00185C6C" w:rsidP="00DF14EA">
      <w:pPr>
        <w:contextualSpacing/>
        <w:mirrorIndents/>
        <w:jc w:val="both"/>
        <w:rPr>
          <w:sz w:val="20"/>
          <w:szCs w:val="20"/>
        </w:rPr>
      </w:pPr>
    </w:p>
    <w:p w14:paraId="1C3ECC91" w14:textId="36AA33B8" w:rsidR="00066A81" w:rsidRPr="00185C6C" w:rsidRDefault="00BE368A" w:rsidP="00DF14EA">
      <w:pPr>
        <w:contextualSpacing/>
        <w:mirrorIndents/>
        <w:jc w:val="both"/>
        <w:rPr>
          <w:b/>
          <w:bCs/>
          <w:sz w:val="20"/>
          <w:szCs w:val="20"/>
        </w:rPr>
      </w:pPr>
      <w:r w:rsidRPr="00185C6C">
        <w:rPr>
          <w:b/>
          <w:bCs/>
          <w:sz w:val="20"/>
          <w:szCs w:val="20"/>
        </w:rPr>
        <w:t>NCLEX</w:t>
      </w:r>
      <w:r w:rsidR="00185C6C" w:rsidRPr="00185C6C">
        <w:rPr>
          <w:b/>
          <w:bCs/>
          <w:sz w:val="20"/>
          <w:szCs w:val="20"/>
        </w:rPr>
        <w:t>-</w:t>
      </w:r>
      <w:r w:rsidRPr="00185C6C">
        <w:rPr>
          <w:b/>
          <w:bCs/>
          <w:sz w:val="20"/>
          <w:szCs w:val="20"/>
        </w:rPr>
        <w:t xml:space="preserve">RN </w:t>
      </w:r>
      <w:r w:rsidR="00185C6C" w:rsidRPr="00185C6C">
        <w:rPr>
          <w:b/>
          <w:bCs/>
          <w:sz w:val="20"/>
          <w:szCs w:val="20"/>
        </w:rPr>
        <w:t>Test Plan</w:t>
      </w:r>
    </w:p>
    <w:p w14:paraId="1CCB4961" w14:textId="4577B3F0" w:rsidR="00BE368A" w:rsidRPr="005059C4" w:rsidRDefault="00BE368A" w:rsidP="00DF14EA">
      <w:pPr>
        <w:contextualSpacing/>
        <w:mirrorIndents/>
        <w:jc w:val="both"/>
        <w:rPr>
          <w:sz w:val="20"/>
          <w:szCs w:val="20"/>
        </w:rPr>
      </w:pPr>
      <w:r w:rsidRPr="005059C4">
        <w:rPr>
          <w:sz w:val="20"/>
          <w:szCs w:val="20"/>
        </w:rPr>
        <w:t> </w:t>
      </w:r>
    </w:p>
    <w:p w14:paraId="169DF627" w14:textId="180BF8A0" w:rsidR="00BE368A" w:rsidRDefault="00BE368A" w:rsidP="00DF14EA">
      <w:pPr>
        <w:contextualSpacing/>
        <w:mirrorIndents/>
        <w:jc w:val="both"/>
        <w:rPr>
          <w:sz w:val="20"/>
          <w:szCs w:val="20"/>
        </w:rPr>
      </w:pPr>
      <w:r w:rsidRPr="005059C4">
        <w:rPr>
          <w:sz w:val="20"/>
          <w:szCs w:val="20"/>
        </w:rPr>
        <w:t xml:space="preserve">The National Council Licensure Exam-RN (NCLEX-RN) test plan is used as a guide for curriculum development and revisions. Since the curriculum does not offer a separate pharmacology course, the test plan which consists of 12-18% Pharmacological and Parenteral Therapies </w:t>
      </w:r>
      <w:r w:rsidR="00D6690C">
        <w:rPr>
          <w:color w:val="FF0000"/>
          <w:sz w:val="20"/>
          <w:szCs w:val="20"/>
        </w:rPr>
        <w:t>[2]</w:t>
      </w:r>
      <w:r w:rsidRPr="005059C4">
        <w:rPr>
          <w:sz w:val="20"/>
          <w:szCs w:val="20"/>
        </w:rPr>
        <w:t xml:space="preserve"> is used as a guide for making revisions in courses activities and clinical assignments.</w:t>
      </w:r>
      <w:r w:rsidR="00E9291B" w:rsidRPr="005059C4">
        <w:rPr>
          <w:sz w:val="20"/>
          <w:szCs w:val="20"/>
        </w:rPr>
        <w:t xml:space="preserve"> </w:t>
      </w:r>
    </w:p>
    <w:p w14:paraId="50CD0C19" w14:textId="77777777" w:rsidR="00066A81" w:rsidRPr="005059C4" w:rsidRDefault="00066A81" w:rsidP="00DF14EA">
      <w:pPr>
        <w:contextualSpacing/>
        <w:mirrorIndents/>
        <w:jc w:val="both"/>
        <w:rPr>
          <w:sz w:val="20"/>
          <w:szCs w:val="20"/>
        </w:rPr>
      </w:pPr>
    </w:p>
    <w:p w14:paraId="7C91AB90" w14:textId="6555FCB6" w:rsidR="00BE368A" w:rsidRPr="00B82BD8" w:rsidRDefault="00BE368A" w:rsidP="00DF14EA">
      <w:pPr>
        <w:contextualSpacing/>
        <w:mirrorIndents/>
        <w:jc w:val="both"/>
        <w:rPr>
          <w:b/>
          <w:sz w:val="20"/>
          <w:szCs w:val="20"/>
        </w:rPr>
      </w:pPr>
      <w:r w:rsidRPr="00B82BD8">
        <w:rPr>
          <w:b/>
          <w:sz w:val="20"/>
          <w:szCs w:val="20"/>
        </w:rPr>
        <w:t>Subject Selection Process</w:t>
      </w:r>
    </w:p>
    <w:p w14:paraId="2ECCC5F5" w14:textId="77777777" w:rsidR="00066A81" w:rsidRPr="005059C4" w:rsidRDefault="00066A81" w:rsidP="00DF14EA">
      <w:pPr>
        <w:contextualSpacing/>
        <w:mirrorIndents/>
        <w:jc w:val="both"/>
        <w:rPr>
          <w:sz w:val="20"/>
          <w:szCs w:val="20"/>
        </w:rPr>
      </w:pPr>
    </w:p>
    <w:p w14:paraId="7A33EB40" w14:textId="00D31ACE" w:rsidR="00BE368A" w:rsidRDefault="00BE368A" w:rsidP="00DF14EA">
      <w:pPr>
        <w:contextualSpacing/>
        <w:mirrorIndents/>
        <w:jc w:val="both"/>
        <w:rPr>
          <w:sz w:val="20"/>
          <w:szCs w:val="20"/>
        </w:rPr>
      </w:pPr>
      <w:r w:rsidRPr="005059C4">
        <w:rPr>
          <w:sz w:val="20"/>
          <w:szCs w:val="20"/>
        </w:rPr>
        <w:t>The participants for this research were selected from City Colleges of Chicago School of Nursing (CCCSON) at Malcolm X College. All nursing students were enrolled in the spring 2019 cohort and faculty was asked for their voluntary participation. This provided a sufficient participant pool for evaluation.</w:t>
      </w:r>
    </w:p>
    <w:p w14:paraId="3DB7F94C" w14:textId="77777777" w:rsidR="00066A81" w:rsidRPr="005059C4" w:rsidRDefault="00066A81" w:rsidP="00DF14EA">
      <w:pPr>
        <w:contextualSpacing/>
        <w:mirrorIndents/>
        <w:jc w:val="both"/>
        <w:rPr>
          <w:sz w:val="20"/>
          <w:szCs w:val="20"/>
        </w:rPr>
      </w:pPr>
    </w:p>
    <w:p w14:paraId="03BCA2D9" w14:textId="55E3B5BF" w:rsidR="00BE368A" w:rsidRPr="00B66614" w:rsidRDefault="00BE368A" w:rsidP="00DF14EA">
      <w:pPr>
        <w:contextualSpacing/>
        <w:mirrorIndents/>
        <w:jc w:val="both"/>
        <w:rPr>
          <w:b/>
          <w:sz w:val="20"/>
          <w:szCs w:val="20"/>
        </w:rPr>
      </w:pPr>
      <w:r w:rsidRPr="00B66614">
        <w:rPr>
          <w:b/>
          <w:sz w:val="20"/>
          <w:szCs w:val="20"/>
        </w:rPr>
        <w:t>Consent</w:t>
      </w:r>
    </w:p>
    <w:p w14:paraId="1BC03D3A" w14:textId="77777777" w:rsidR="00066A81" w:rsidRPr="005059C4" w:rsidRDefault="00066A81" w:rsidP="00DF14EA">
      <w:pPr>
        <w:contextualSpacing/>
        <w:mirrorIndents/>
        <w:jc w:val="both"/>
        <w:rPr>
          <w:sz w:val="20"/>
          <w:szCs w:val="20"/>
        </w:rPr>
      </w:pPr>
    </w:p>
    <w:p w14:paraId="352695D7" w14:textId="38F98F92" w:rsidR="00BE368A" w:rsidRDefault="00BE368A" w:rsidP="00DF14EA">
      <w:pPr>
        <w:contextualSpacing/>
        <w:mirrorIndents/>
        <w:jc w:val="both"/>
        <w:rPr>
          <w:sz w:val="20"/>
          <w:szCs w:val="20"/>
        </w:rPr>
      </w:pPr>
      <w:r w:rsidRPr="005059C4">
        <w:rPr>
          <w:sz w:val="20"/>
          <w:szCs w:val="20"/>
        </w:rPr>
        <w:t xml:space="preserve">A consent was obtained from students and faculty. An announcement was placed on the Class of 2019 in Learning Management System (Brightspace) asking for voluntary participation of the students in the research. For the students that agreed, a consent was distributed prior to the examination. </w:t>
      </w:r>
      <w:r w:rsidR="4A5AE31B" w:rsidRPr="005059C4">
        <w:rPr>
          <w:sz w:val="20"/>
          <w:szCs w:val="20"/>
        </w:rPr>
        <w:t>In a department meeting, faculty</w:t>
      </w:r>
      <w:r w:rsidRPr="005059C4">
        <w:rPr>
          <w:sz w:val="20"/>
          <w:szCs w:val="20"/>
        </w:rPr>
        <w:t xml:space="preserve"> </w:t>
      </w:r>
      <w:r w:rsidR="65E54823" w:rsidRPr="005059C4">
        <w:rPr>
          <w:sz w:val="20"/>
          <w:szCs w:val="20"/>
        </w:rPr>
        <w:t xml:space="preserve">were </w:t>
      </w:r>
      <w:r w:rsidRPr="005059C4">
        <w:rPr>
          <w:sz w:val="20"/>
          <w:szCs w:val="20"/>
        </w:rPr>
        <w:t xml:space="preserve">asked for their voluntary participation </w:t>
      </w:r>
      <w:r w:rsidR="1275F380" w:rsidRPr="005059C4">
        <w:rPr>
          <w:sz w:val="20"/>
          <w:szCs w:val="20"/>
        </w:rPr>
        <w:t xml:space="preserve">to review </w:t>
      </w:r>
      <w:r w:rsidR="3B3DAB2B" w:rsidRPr="005059C4">
        <w:rPr>
          <w:sz w:val="20"/>
          <w:szCs w:val="20"/>
        </w:rPr>
        <w:t>student</w:t>
      </w:r>
      <w:r w:rsidR="19DF7292" w:rsidRPr="005059C4">
        <w:rPr>
          <w:sz w:val="20"/>
          <w:szCs w:val="20"/>
        </w:rPr>
        <w:t>’</w:t>
      </w:r>
      <w:r w:rsidR="3B3DAB2B" w:rsidRPr="005059C4">
        <w:rPr>
          <w:sz w:val="20"/>
          <w:szCs w:val="20"/>
        </w:rPr>
        <w:t xml:space="preserve">s </w:t>
      </w:r>
      <w:r w:rsidR="4FE48D86" w:rsidRPr="005059C4">
        <w:rPr>
          <w:sz w:val="20"/>
          <w:szCs w:val="20"/>
        </w:rPr>
        <w:t xml:space="preserve">ATI </w:t>
      </w:r>
      <w:r w:rsidR="56D96110" w:rsidRPr="005059C4">
        <w:rPr>
          <w:sz w:val="20"/>
          <w:szCs w:val="20"/>
        </w:rPr>
        <w:t>pharmacology assessments.</w:t>
      </w:r>
      <w:r w:rsidRPr="005059C4">
        <w:rPr>
          <w:sz w:val="20"/>
          <w:szCs w:val="20"/>
        </w:rPr>
        <w:t xml:space="preserve"> Faculty participants who agree</w:t>
      </w:r>
      <w:r w:rsidR="0AB92F5A" w:rsidRPr="005059C4">
        <w:rPr>
          <w:sz w:val="20"/>
          <w:szCs w:val="20"/>
        </w:rPr>
        <w:t>d</w:t>
      </w:r>
      <w:r w:rsidRPr="005059C4">
        <w:rPr>
          <w:sz w:val="20"/>
          <w:szCs w:val="20"/>
        </w:rPr>
        <w:t xml:space="preserve"> gave consent</w:t>
      </w:r>
      <w:r w:rsidR="7F238207" w:rsidRPr="005059C4">
        <w:rPr>
          <w:sz w:val="20"/>
          <w:szCs w:val="20"/>
        </w:rPr>
        <w:t xml:space="preserve"> </w:t>
      </w:r>
      <w:r w:rsidR="43F8B20D" w:rsidRPr="005059C4">
        <w:rPr>
          <w:sz w:val="20"/>
          <w:szCs w:val="20"/>
        </w:rPr>
        <w:t xml:space="preserve">and attended </w:t>
      </w:r>
      <w:r w:rsidR="5C061D29" w:rsidRPr="005059C4">
        <w:rPr>
          <w:sz w:val="20"/>
          <w:szCs w:val="20"/>
        </w:rPr>
        <w:t>a</w:t>
      </w:r>
      <w:r w:rsidR="43F8B20D" w:rsidRPr="005059C4">
        <w:rPr>
          <w:sz w:val="20"/>
          <w:szCs w:val="20"/>
        </w:rPr>
        <w:t xml:space="preserve"> </w:t>
      </w:r>
      <w:r w:rsidRPr="005059C4">
        <w:rPr>
          <w:sz w:val="20"/>
          <w:szCs w:val="20"/>
        </w:rPr>
        <w:t>one-hour meeting</w:t>
      </w:r>
      <w:r w:rsidR="6C72ED84" w:rsidRPr="005059C4">
        <w:rPr>
          <w:sz w:val="20"/>
          <w:szCs w:val="20"/>
        </w:rPr>
        <w:t xml:space="preserve"> to review student’s pharmacology scores on b</w:t>
      </w:r>
      <w:r w:rsidR="42F77E27" w:rsidRPr="005059C4">
        <w:rPr>
          <w:sz w:val="20"/>
          <w:szCs w:val="20"/>
        </w:rPr>
        <w:t>oth examinations</w:t>
      </w:r>
      <w:r w:rsidR="146BD6FA" w:rsidRPr="005059C4">
        <w:rPr>
          <w:sz w:val="20"/>
          <w:szCs w:val="20"/>
        </w:rPr>
        <w:t>: ATI Pharmacology and ATI RN Comprehensive</w:t>
      </w:r>
      <w:r w:rsidR="65C04D35" w:rsidRPr="005059C4">
        <w:rPr>
          <w:sz w:val="20"/>
          <w:szCs w:val="20"/>
        </w:rPr>
        <w:t>.</w:t>
      </w:r>
      <w:r w:rsidRPr="005059C4">
        <w:rPr>
          <w:sz w:val="20"/>
          <w:szCs w:val="20"/>
        </w:rPr>
        <w:t xml:space="preserve"> </w:t>
      </w:r>
    </w:p>
    <w:p w14:paraId="5905A20A" w14:textId="77777777" w:rsidR="00066A81" w:rsidRPr="005059C4" w:rsidRDefault="00066A81" w:rsidP="00DF14EA">
      <w:pPr>
        <w:contextualSpacing/>
        <w:mirrorIndents/>
        <w:jc w:val="both"/>
        <w:rPr>
          <w:sz w:val="20"/>
          <w:szCs w:val="20"/>
        </w:rPr>
      </w:pPr>
    </w:p>
    <w:p w14:paraId="0A154C7A" w14:textId="17EDA915" w:rsidR="00BE368A" w:rsidRPr="00F034DE" w:rsidRDefault="00BE368A" w:rsidP="00DF14EA">
      <w:pPr>
        <w:contextualSpacing/>
        <w:mirrorIndents/>
        <w:jc w:val="both"/>
        <w:rPr>
          <w:b/>
          <w:sz w:val="20"/>
          <w:szCs w:val="20"/>
        </w:rPr>
      </w:pPr>
      <w:r w:rsidRPr="00F034DE">
        <w:rPr>
          <w:b/>
          <w:sz w:val="20"/>
          <w:szCs w:val="20"/>
        </w:rPr>
        <w:t xml:space="preserve">Research </w:t>
      </w:r>
      <w:r w:rsidR="00F034DE" w:rsidRPr="00F034DE">
        <w:rPr>
          <w:b/>
          <w:sz w:val="20"/>
          <w:szCs w:val="20"/>
        </w:rPr>
        <w:t>Design</w:t>
      </w:r>
    </w:p>
    <w:p w14:paraId="7D12D4CE" w14:textId="77777777" w:rsidR="00066A81" w:rsidRPr="005059C4" w:rsidRDefault="00066A81" w:rsidP="00DF14EA">
      <w:pPr>
        <w:contextualSpacing/>
        <w:mirrorIndents/>
        <w:jc w:val="both"/>
        <w:rPr>
          <w:sz w:val="20"/>
          <w:szCs w:val="20"/>
        </w:rPr>
      </w:pPr>
    </w:p>
    <w:p w14:paraId="45EBA032" w14:textId="2525A7AA" w:rsidR="00BE368A" w:rsidRDefault="00BE368A" w:rsidP="00DF14EA">
      <w:pPr>
        <w:contextualSpacing/>
        <w:mirrorIndents/>
        <w:jc w:val="both"/>
        <w:rPr>
          <w:sz w:val="20"/>
          <w:szCs w:val="20"/>
        </w:rPr>
      </w:pPr>
      <w:r w:rsidRPr="005059C4">
        <w:rPr>
          <w:sz w:val="20"/>
          <w:szCs w:val="20"/>
        </w:rPr>
        <w:t>Quantitative design of the study included a one-hour meeting for faculty. This meeting included a PowerPoint presentation of the findings from the student's exam, an Assessment article, short video “Summative Assessment Overview and Examples</w:t>
      </w:r>
      <w:r w:rsidR="5C07D2FC" w:rsidRPr="005059C4">
        <w:rPr>
          <w:sz w:val="20"/>
          <w:szCs w:val="20"/>
        </w:rPr>
        <w:t>.”</w:t>
      </w:r>
      <w:r w:rsidRPr="005059C4">
        <w:rPr>
          <w:sz w:val="20"/>
          <w:szCs w:val="20"/>
        </w:rPr>
        <w:t xml:space="preserve"> At the conclusion of the meeting, a survey</w:t>
      </w:r>
      <w:r w:rsidR="00C9598C">
        <w:rPr>
          <w:sz w:val="20"/>
          <w:szCs w:val="20"/>
        </w:rPr>
        <w:t xml:space="preserve"> was distributed and collected.</w:t>
      </w:r>
    </w:p>
    <w:p w14:paraId="4447DE3D" w14:textId="77777777" w:rsidR="00066A81" w:rsidRPr="005059C4" w:rsidRDefault="00066A81" w:rsidP="00DF14EA">
      <w:pPr>
        <w:contextualSpacing/>
        <w:mirrorIndents/>
        <w:jc w:val="both"/>
        <w:rPr>
          <w:sz w:val="20"/>
          <w:szCs w:val="20"/>
        </w:rPr>
      </w:pPr>
    </w:p>
    <w:p w14:paraId="024B0E99" w14:textId="6A4276C2" w:rsidR="00066A81" w:rsidRDefault="00BE368A" w:rsidP="00DF14EA">
      <w:pPr>
        <w:contextualSpacing/>
        <w:mirrorIndents/>
        <w:jc w:val="both"/>
        <w:rPr>
          <w:b/>
          <w:sz w:val="20"/>
          <w:szCs w:val="20"/>
        </w:rPr>
      </w:pPr>
      <w:r w:rsidRPr="00805A57">
        <w:rPr>
          <w:b/>
          <w:sz w:val="20"/>
          <w:szCs w:val="20"/>
        </w:rPr>
        <w:t>Risks and Benefits</w:t>
      </w:r>
    </w:p>
    <w:p w14:paraId="12D2D2B6" w14:textId="77777777" w:rsidR="00805A57" w:rsidRPr="00805A57" w:rsidRDefault="00805A57" w:rsidP="00DF14EA">
      <w:pPr>
        <w:contextualSpacing/>
        <w:mirrorIndents/>
        <w:jc w:val="both"/>
        <w:rPr>
          <w:sz w:val="20"/>
          <w:szCs w:val="20"/>
        </w:rPr>
      </w:pPr>
    </w:p>
    <w:p w14:paraId="6B77D19C" w14:textId="09A1B838" w:rsidR="00066A81" w:rsidRPr="005059C4" w:rsidRDefault="007914AD" w:rsidP="00DF14EA">
      <w:pPr>
        <w:contextualSpacing/>
        <w:mirrorIndents/>
        <w:jc w:val="both"/>
        <w:rPr>
          <w:sz w:val="20"/>
          <w:szCs w:val="20"/>
        </w:rPr>
      </w:pPr>
      <w:r w:rsidRPr="005059C4">
        <w:rPr>
          <w:sz w:val="20"/>
          <w:szCs w:val="20"/>
        </w:rPr>
        <w:t xml:space="preserve">The benefit is that the information obtained in the one-hour meeting will facilitate the discussion of the relevancy of administering two summative examinations at the end of the nursing program. </w:t>
      </w:r>
      <w:r w:rsidR="0034022E" w:rsidRPr="005059C4">
        <w:rPr>
          <w:sz w:val="20"/>
          <w:szCs w:val="20"/>
        </w:rPr>
        <w:t>Another benefit is t</w:t>
      </w:r>
      <w:r w:rsidRPr="005059C4">
        <w:rPr>
          <w:sz w:val="20"/>
          <w:szCs w:val="20"/>
        </w:rPr>
        <w:t xml:space="preserve">he pharmacology content on ATI RN Comprehensive may reflect the student’s actual knowledge because the examination does count toward progression. </w:t>
      </w:r>
      <w:r w:rsidR="00BE368A" w:rsidRPr="005059C4">
        <w:rPr>
          <w:sz w:val="20"/>
          <w:szCs w:val="20"/>
        </w:rPr>
        <w:t>The</w:t>
      </w:r>
      <w:r w:rsidR="3427B979" w:rsidRPr="005059C4">
        <w:rPr>
          <w:sz w:val="20"/>
          <w:szCs w:val="20"/>
        </w:rPr>
        <w:t xml:space="preserve"> </w:t>
      </w:r>
      <w:r w:rsidR="00BE368A" w:rsidRPr="005059C4">
        <w:rPr>
          <w:sz w:val="20"/>
          <w:szCs w:val="20"/>
        </w:rPr>
        <w:t>risk</w:t>
      </w:r>
      <w:r w:rsidR="52C01E32" w:rsidRPr="005059C4">
        <w:rPr>
          <w:sz w:val="20"/>
          <w:szCs w:val="20"/>
        </w:rPr>
        <w:t>s</w:t>
      </w:r>
      <w:r w:rsidR="00BE368A" w:rsidRPr="005059C4">
        <w:rPr>
          <w:sz w:val="20"/>
          <w:szCs w:val="20"/>
        </w:rPr>
        <w:t xml:space="preserve"> </w:t>
      </w:r>
      <w:r w:rsidR="37A4AB39" w:rsidRPr="005059C4">
        <w:rPr>
          <w:sz w:val="20"/>
          <w:szCs w:val="20"/>
        </w:rPr>
        <w:t>are</w:t>
      </w:r>
      <w:r w:rsidR="2E79ADC0" w:rsidRPr="005059C4">
        <w:rPr>
          <w:sz w:val="20"/>
          <w:szCs w:val="20"/>
        </w:rPr>
        <w:t xml:space="preserve"> </w:t>
      </w:r>
      <w:r w:rsidR="18ACA1C3" w:rsidRPr="005059C4">
        <w:rPr>
          <w:sz w:val="20"/>
          <w:szCs w:val="20"/>
        </w:rPr>
        <w:t xml:space="preserve">the </w:t>
      </w:r>
      <w:r w:rsidR="5FE26939" w:rsidRPr="005059C4">
        <w:rPr>
          <w:sz w:val="20"/>
          <w:szCs w:val="20"/>
        </w:rPr>
        <w:t xml:space="preserve">ATI RN </w:t>
      </w:r>
      <w:r w:rsidR="5ACB3017" w:rsidRPr="005059C4">
        <w:rPr>
          <w:sz w:val="20"/>
          <w:szCs w:val="20"/>
        </w:rPr>
        <w:t>P</w:t>
      </w:r>
      <w:r w:rsidR="5FE26939" w:rsidRPr="005059C4">
        <w:rPr>
          <w:sz w:val="20"/>
          <w:szCs w:val="20"/>
        </w:rPr>
        <w:t xml:space="preserve">harmacology </w:t>
      </w:r>
      <w:r w:rsidR="18ACA1C3" w:rsidRPr="005059C4">
        <w:rPr>
          <w:sz w:val="20"/>
          <w:szCs w:val="20"/>
        </w:rPr>
        <w:t xml:space="preserve">examination </w:t>
      </w:r>
      <w:r w:rsidR="5E02D0D9" w:rsidRPr="005059C4">
        <w:rPr>
          <w:sz w:val="20"/>
          <w:szCs w:val="20"/>
        </w:rPr>
        <w:t>is for</w:t>
      </w:r>
      <w:r w:rsidR="41E9A7C8" w:rsidRPr="005059C4">
        <w:rPr>
          <w:sz w:val="20"/>
          <w:szCs w:val="20"/>
        </w:rPr>
        <w:t xml:space="preserve"> </w:t>
      </w:r>
      <w:r w:rsidR="5E02D0D9" w:rsidRPr="005059C4">
        <w:rPr>
          <w:sz w:val="20"/>
          <w:szCs w:val="20"/>
        </w:rPr>
        <w:t xml:space="preserve">assessment purpose </w:t>
      </w:r>
      <w:r w:rsidR="2729F3C5" w:rsidRPr="005059C4">
        <w:rPr>
          <w:sz w:val="20"/>
          <w:szCs w:val="20"/>
        </w:rPr>
        <w:t xml:space="preserve">only </w:t>
      </w:r>
      <w:r w:rsidR="5E02D0D9" w:rsidRPr="005059C4">
        <w:rPr>
          <w:sz w:val="20"/>
          <w:szCs w:val="20"/>
        </w:rPr>
        <w:t>and does not count toward progression</w:t>
      </w:r>
      <w:r w:rsidRPr="005059C4">
        <w:rPr>
          <w:sz w:val="20"/>
          <w:szCs w:val="20"/>
        </w:rPr>
        <w:t>. Therefore,</w:t>
      </w:r>
      <w:r w:rsidR="6EF38F39" w:rsidRPr="005059C4">
        <w:rPr>
          <w:sz w:val="20"/>
          <w:szCs w:val="20"/>
        </w:rPr>
        <w:t xml:space="preserve"> </w:t>
      </w:r>
      <w:r w:rsidR="199018D3" w:rsidRPr="005059C4">
        <w:rPr>
          <w:sz w:val="20"/>
          <w:szCs w:val="20"/>
        </w:rPr>
        <w:t xml:space="preserve">student’s </w:t>
      </w:r>
      <w:r w:rsidR="00BE368A" w:rsidRPr="005059C4">
        <w:rPr>
          <w:sz w:val="20"/>
          <w:szCs w:val="20"/>
        </w:rPr>
        <w:t>performance on th</w:t>
      </w:r>
      <w:r w:rsidR="5E26E602" w:rsidRPr="005059C4">
        <w:rPr>
          <w:sz w:val="20"/>
          <w:szCs w:val="20"/>
        </w:rPr>
        <w:t xml:space="preserve">is exam </w:t>
      </w:r>
      <w:r w:rsidR="00BE368A" w:rsidRPr="005059C4">
        <w:rPr>
          <w:sz w:val="20"/>
          <w:szCs w:val="20"/>
        </w:rPr>
        <w:t>may not</w:t>
      </w:r>
      <w:r w:rsidR="4DE4BF89" w:rsidRPr="005059C4">
        <w:rPr>
          <w:sz w:val="20"/>
          <w:szCs w:val="20"/>
        </w:rPr>
        <w:t xml:space="preserve"> prove the </w:t>
      </w:r>
      <w:r w:rsidR="00BE368A" w:rsidRPr="005059C4">
        <w:rPr>
          <w:sz w:val="20"/>
          <w:szCs w:val="20"/>
        </w:rPr>
        <w:t xml:space="preserve">student’s </w:t>
      </w:r>
      <w:r w:rsidR="639A819A" w:rsidRPr="005059C4">
        <w:rPr>
          <w:sz w:val="20"/>
          <w:szCs w:val="20"/>
        </w:rPr>
        <w:t xml:space="preserve">actual </w:t>
      </w:r>
      <w:r w:rsidR="00BE368A" w:rsidRPr="005059C4">
        <w:rPr>
          <w:sz w:val="20"/>
          <w:szCs w:val="20"/>
        </w:rPr>
        <w:t xml:space="preserve">knowledge of </w:t>
      </w:r>
      <w:r w:rsidR="5E2D707B" w:rsidRPr="005059C4">
        <w:rPr>
          <w:sz w:val="20"/>
          <w:szCs w:val="20"/>
        </w:rPr>
        <w:t>pharmacolog</w:t>
      </w:r>
      <w:r w:rsidR="7548DEBE" w:rsidRPr="005059C4">
        <w:rPr>
          <w:sz w:val="20"/>
          <w:szCs w:val="20"/>
        </w:rPr>
        <w:t>y</w:t>
      </w:r>
      <w:r w:rsidR="21E07BB6" w:rsidRPr="005059C4">
        <w:rPr>
          <w:sz w:val="20"/>
          <w:szCs w:val="20"/>
        </w:rPr>
        <w:t xml:space="preserve"> content learned</w:t>
      </w:r>
      <w:r w:rsidRPr="005059C4">
        <w:rPr>
          <w:sz w:val="20"/>
          <w:szCs w:val="20"/>
        </w:rPr>
        <w:t>.</w:t>
      </w:r>
    </w:p>
    <w:p w14:paraId="7EEA7927" w14:textId="689FE8F3" w:rsidR="00BE368A" w:rsidRPr="00CE5592" w:rsidRDefault="00BE368A" w:rsidP="00DF14EA">
      <w:pPr>
        <w:contextualSpacing/>
        <w:mirrorIndents/>
        <w:jc w:val="both"/>
        <w:rPr>
          <w:b/>
          <w:bCs/>
          <w:sz w:val="20"/>
          <w:szCs w:val="20"/>
        </w:rPr>
      </w:pPr>
      <w:r w:rsidRPr="00CE5592">
        <w:rPr>
          <w:b/>
          <w:bCs/>
          <w:sz w:val="20"/>
          <w:szCs w:val="20"/>
        </w:rPr>
        <w:lastRenderedPageBreak/>
        <w:t xml:space="preserve">Data </w:t>
      </w:r>
      <w:r w:rsidR="004B4315" w:rsidRPr="00CE5592">
        <w:rPr>
          <w:b/>
          <w:bCs/>
          <w:sz w:val="20"/>
          <w:szCs w:val="20"/>
        </w:rPr>
        <w:t>Collection Tool</w:t>
      </w:r>
    </w:p>
    <w:p w14:paraId="208738D6" w14:textId="77777777" w:rsidR="00066A81" w:rsidRPr="005059C4" w:rsidRDefault="00066A81" w:rsidP="00DF14EA">
      <w:pPr>
        <w:contextualSpacing/>
        <w:mirrorIndents/>
        <w:jc w:val="both"/>
        <w:rPr>
          <w:bCs/>
          <w:sz w:val="20"/>
          <w:szCs w:val="20"/>
        </w:rPr>
      </w:pPr>
    </w:p>
    <w:p w14:paraId="7889799A" w14:textId="5D26DECB" w:rsidR="00BE368A" w:rsidRPr="005059C4" w:rsidRDefault="00BE368A" w:rsidP="00DF14EA">
      <w:pPr>
        <w:contextualSpacing/>
        <w:mirrorIndents/>
        <w:jc w:val="both"/>
        <w:rPr>
          <w:sz w:val="20"/>
          <w:szCs w:val="20"/>
        </w:rPr>
      </w:pPr>
      <w:r w:rsidRPr="005059C4">
        <w:rPr>
          <w:sz w:val="20"/>
          <w:szCs w:val="20"/>
        </w:rPr>
        <w:t>The seven-question</w:t>
      </w:r>
      <w:r w:rsidR="000F3B5D" w:rsidRPr="005059C4">
        <w:rPr>
          <w:sz w:val="20"/>
          <w:szCs w:val="20"/>
        </w:rPr>
        <w:t xml:space="preserve"> </w:t>
      </w:r>
      <w:r w:rsidR="00FA2030" w:rsidRPr="005059C4">
        <w:rPr>
          <w:sz w:val="20"/>
          <w:szCs w:val="20"/>
        </w:rPr>
        <w:t xml:space="preserve">Likert </w:t>
      </w:r>
      <w:r w:rsidR="002A4FFE" w:rsidRPr="005059C4">
        <w:rPr>
          <w:sz w:val="20"/>
          <w:szCs w:val="20"/>
        </w:rPr>
        <w:t xml:space="preserve">survey </w:t>
      </w:r>
      <w:r w:rsidR="00FA7B6B" w:rsidRPr="005059C4">
        <w:rPr>
          <w:sz w:val="20"/>
          <w:szCs w:val="20"/>
        </w:rPr>
        <w:t>was administered to faculty</w:t>
      </w:r>
      <w:r w:rsidR="002A4FFE" w:rsidRPr="005059C4">
        <w:rPr>
          <w:sz w:val="20"/>
          <w:szCs w:val="20"/>
        </w:rPr>
        <w:t xml:space="preserve"> for </w:t>
      </w:r>
      <w:bookmarkStart w:id="2" w:name="_Hlk79429382"/>
      <w:r w:rsidR="002A4FFE" w:rsidRPr="005059C4">
        <w:rPr>
          <w:sz w:val="20"/>
          <w:szCs w:val="20"/>
        </w:rPr>
        <w:t xml:space="preserve">evaluation and feedback of the effectiveness of the </w:t>
      </w:r>
      <w:r w:rsidR="00E65F0D" w:rsidRPr="005059C4">
        <w:rPr>
          <w:sz w:val="20"/>
          <w:szCs w:val="20"/>
        </w:rPr>
        <w:t xml:space="preserve">summative assessment’s </w:t>
      </w:r>
      <w:r w:rsidR="002A4FFE" w:rsidRPr="005059C4">
        <w:rPr>
          <w:sz w:val="20"/>
          <w:szCs w:val="20"/>
        </w:rPr>
        <w:t>presentation.</w:t>
      </w:r>
      <w:bookmarkEnd w:id="2"/>
      <w:r w:rsidR="7BDD345E" w:rsidRPr="005059C4">
        <w:rPr>
          <w:sz w:val="20"/>
          <w:szCs w:val="20"/>
        </w:rPr>
        <w:t xml:space="preserve"> </w:t>
      </w:r>
      <w:r w:rsidR="000F3B5D" w:rsidRPr="005059C4">
        <w:rPr>
          <w:sz w:val="20"/>
          <w:szCs w:val="20"/>
        </w:rPr>
        <w:t xml:space="preserve">The </w:t>
      </w:r>
      <w:r w:rsidR="000F3B5D" w:rsidRPr="005059C4">
        <w:rPr>
          <w:rFonts w:eastAsiaTheme="minorHAnsi"/>
          <w:sz w:val="20"/>
          <w:szCs w:val="20"/>
        </w:rPr>
        <w:t>five-point Likert scale</w:t>
      </w:r>
      <w:r w:rsidR="00D63042" w:rsidRPr="005059C4">
        <w:rPr>
          <w:bCs/>
          <w:iCs/>
          <w:sz w:val="20"/>
          <w:szCs w:val="20"/>
        </w:rPr>
        <w:t xml:space="preserve"> </w:t>
      </w:r>
      <w:r w:rsidR="00D63042" w:rsidRPr="005059C4">
        <w:rPr>
          <w:sz w:val="20"/>
          <w:szCs w:val="20"/>
        </w:rPr>
        <w:t>rates</w:t>
      </w:r>
      <w:r w:rsidR="000F3B5D" w:rsidRPr="005059C4">
        <w:rPr>
          <w:sz w:val="20"/>
          <w:szCs w:val="20"/>
        </w:rPr>
        <w:t xml:space="preserve"> “1” is strongly disagree, 3 is neutral (no opinion) and 5 is strongly agree. </w:t>
      </w:r>
      <w:r w:rsidRPr="005059C4">
        <w:rPr>
          <w:sz w:val="20"/>
          <w:szCs w:val="20"/>
        </w:rPr>
        <w:t xml:space="preserve">The reliability and the validity of this instrument have not been </w:t>
      </w:r>
      <w:r w:rsidR="40750488" w:rsidRPr="005059C4">
        <w:rPr>
          <w:sz w:val="20"/>
          <w:szCs w:val="20"/>
        </w:rPr>
        <w:t>found</w:t>
      </w:r>
      <w:r w:rsidRPr="005059C4">
        <w:rPr>
          <w:sz w:val="20"/>
          <w:szCs w:val="20"/>
        </w:rPr>
        <w:t>. The Pharmacology and Comprehensive exam scores were retrieved from (ATI). The results of the post aggregated scores and program survey were tabulated using frequencies, means, and percentages. The data were compiled using Microsoft Excel and the results were depicted in a graph bar format for the data analysis.</w:t>
      </w:r>
    </w:p>
    <w:p w14:paraId="0A6959E7" w14:textId="77777777" w:rsidR="00DD2360" w:rsidRPr="005059C4" w:rsidRDefault="00E9291B" w:rsidP="00DF14EA">
      <w:pPr>
        <w:contextualSpacing/>
        <w:mirrorIndents/>
        <w:jc w:val="both"/>
        <w:rPr>
          <w:bCs/>
          <w:sz w:val="20"/>
          <w:szCs w:val="20"/>
        </w:rPr>
      </w:pPr>
      <w:r w:rsidRPr="005059C4">
        <w:rPr>
          <w:bCs/>
          <w:sz w:val="20"/>
          <w:szCs w:val="20"/>
        </w:rPr>
        <w:t xml:space="preserve"> </w:t>
      </w:r>
    </w:p>
    <w:p w14:paraId="2D9842D0" w14:textId="7E9C1DF7" w:rsidR="00BE368A" w:rsidRPr="00CE5592" w:rsidRDefault="00BE368A" w:rsidP="00DF14EA">
      <w:pPr>
        <w:contextualSpacing/>
        <w:mirrorIndents/>
        <w:jc w:val="both"/>
        <w:rPr>
          <w:b/>
          <w:bCs/>
          <w:sz w:val="20"/>
          <w:szCs w:val="20"/>
        </w:rPr>
      </w:pPr>
      <w:r w:rsidRPr="00CE5592">
        <w:rPr>
          <w:b/>
          <w:bCs/>
          <w:sz w:val="22"/>
          <w:szCs w:val="20"/>
        </w:rPr>
        <w:t>Methodology/Procedures</w:t>
      </w:r>
    </w:p>
    <w:p w14:paraId="46367DB9" w14:textId="77777777" w:rsidR="00066A81" w:rsidRPr="005059C4" w:rsidRDefault="00066A81" w:rsidP="00DF14EA">
      <w:pPr>
        <w:contextualSpacing/>
        <w:mirrorIndents/>
        <w:jc w:val="both"/>
        <w:rPr>
          <w:bCs/>
          <w:sz w:val="20"/>
          <w:szCs w:val="20"/>
        </w:rPr>
      </w:pPr>
    </w:p>
    <w:p w14:paraId="39783F3E" w14:textId="06A7871D" w:rsidR="00BE368A" w:rsidRDefault="00BE368A" w:rsidP="00DF14EA">
      <w:pPr>
        <w:contextualSpacing/>
        <w:mirrorIndents/>
        <w:jc w:val="both"/>
        <w:rPr>
          <w:sz w:val="20"/>
          <w:szCs w:val="20"/>
        </w:rPr>
      </w:pPr>
      <w:r w:rsidRPr="005059C4">
        <w:rPr>
          <w:sz w:val="20"/>
          <w:szCs w:val="20"/>
        </w:rPr>
        <w:t>Faculty participants who</w:t>
      </w:r>
      <w:r w:rsidRPr="005059C4">
        <w:rPr>
          <w:color w:val="FF0000"/>
          <w:sz w:val="20"/>
          <w:szCs w:val="20"/>
        </w:rPr>
        <w:t xml:space="preserve"> </w:t>
      </w:r>
      <w:r w:rsidRPr="005059C4">
        <w:rPr>
          <w:sz w:val="20"/>
          <w:szCs w:val="20"/>
        </w:rPr>
        <w:t xml:space="preserve">agree will be asked to attend a one-hour meeting. The investigators will present a PowerPoint presentation, </w:t>
      </w:r>
      <w:r w:rsidR="4A2CA854" w:rsidRPr="005059C4">
        <w:rPr>
          <w:sz w:val="20"/>
          <w:szCs w:val="20"/>
        </w:rPr>
        <w:t>read,</w:t>
      </w:r>
      <w:r w:rsidRPr="005059C4">
        <w:rPr>
          <w:sz w:val="20"/>
          <w:szCs w:val="20"/>
        </w:rPr>
        <w:t xml:space="preserve"> and discuss an excerpt on assessments in “Evaluation and Testing in Nursing Education”, a short video on “Summative Assessment Overview and Examples”. At the end of the meeting, a seven-question program evaluation survey will be distributed. Faculty will review the aggregated scores of the spring 2019, 70-item Pharmacology and 180-item Comprehensive exams. The group scores of the two summative assessments (Pharmacology and Comprehensive) and survey were presented and discussed in a scheduled department meeting. Any faculty recommendations will be considered for revising or making changes with the summative assessments in the nursing curriculum for fall 2020. </w:t>
      </w:r>
    </w:p>
    <w:p w14:paraId="2166BEEA" w14:textId="77777777" w:rsidR="00066A81" w:rsidRPr="005059C4" w:rsidRDefault="00066A81" w:rsidP="00DF14EA">
      <w:pPr>
        <w:contextualSpacing/>
        <w:mirrorIndents/>
        <w:jc w:val="both"/>
        <w:rPr>
          <w:sz w:val="20"/>
          <w:szCs w:val="20"/>
        </w:rPr>
      </w:pPr>
    </w:p>
    <w:p w14:paraId="1041D9AC" w14:textId="3381F8C0" w:rsidR="00BE368A" w:rsidRPr="00C44CB4" w:rsidRDefault="00BE368A" w:rsidP="00DF14EA">
      <w:pPr>
        <w:contextualSpacing/>
        <w:mirrorIndents/>
        <w:jc w:val="both"/>
        <w:rPr>
          <w:b/>
          <w:bCs/>
          <w:sz w:val="20"/>
          <w:szCs w:val="20"/>
        </w:rPr>
      </w:pPr>
      <w:r w:rsidRPr="00CE5592">
        <w:rPr>
          <w:b/>
          <w:bCs/>
          <w:sz w:val="22"/>
          <w:szCs w:val="20"/>
        </w:rPr>
        <w:t>Findings</w:t>
      </w:r>
    </w:p>
    <w:p w14:paraId="1C30AFB9" w14:textId="77777777" w:rsidR="00066A81" w:rsidRPr="005059C4" w:rsidRDefault="00066A81" w:rsidP="00DF14EA">
      <w:pPr>
        <w:contextualSpacing/>
        <w:mirrorIndents/>
        <w:jc w:val="both"/>
        <w:rPr>
          <w:sz w:val="20"/>
          <w:szCs w:val="20"/>
        </w:rPr>
      </w:pPr>
    </w:p>
    <w:p w14:paraId="4E50BABF" w14:textId="7DB6E441" w:rsidR="00FC51DF" w:rsidRDefault="00177255" w:rsidP="00DF14EA">
      <w:pPr>
        <w:contextualSpacing/>
        <w:mirrorIndents/>
        <w:jc w:val="both"/>
        <w:rPr>
          <w:sz w:val="20"/>
          <w:szCs w:val="20"/>
        </w:rPr>
      </w:pPr>
      <w:r w:rsidRPr="005059C4">
        <w:rPr>
          <w:sz w:val="20"/>
          <w:szCs w:val="20"/>
        </w:rPr>
        <w:t xml:space="preserve">The </w:t>
      </w:r>
      <w:r w:rsidR="000F3B5D" w:rsidRPr="005059C4">
        <w:rPr>
          <w:sz w:val="20"/>
          <w:szCs w:val="20"/>
        </w:rPr>
        <w:t xml:space="preserve">overall </w:t>
      </w:r>
      <w:r w:rsidRPr="005059C4">
        <w:rPr>
          <w:sz w:val="20"/>
          <w:szCs w:val="20"/>
        </w:rPr>
        <w:t xml:space="preserve">survey response of the </w:t>
      </w:r>
      <w:r w:rsidR="00FA2030" w:rsidRPr="005059C4">
        <w:rPr>
          <w:sz w:val="20"/>
          <w:szCs w:val="20"/>
        </w:rPr>
        <w:t xml:space="preserve">eight-faculty showed </w:t>
      </w:r>
      <w:r w:rsidR="00342A70" w:rsidRPr="005059C4">
        <w:rPr>
          <w:sz w:val="20"/>
          <w:szCs w:val="20"/>
        </w:rPr>
        <w:t>six of the seven evaluated questions ranged from 90-</w:t>
      </w:r>
      <w:r w:rsidR="00FA2030" w:rsidRPr="005059C4">
        <w:rPr>
          <w:sz w:val="20"/>
          <w:szCs w:val="20"/>
        </w:rPr>
        <w:t>9</w:t>
      </w:r>
      <w:r w:rsidR="00000591" w:rsidRPr="005059C4">
        <w:rPr>
          <w:sz w:val="20"/>
          <w:szCs w:val="20"/>
        </w:rPr>
        <w:t>2</w:t>
      </w:r>
      <w:r w:rsidR="00FA2030" w:rsidRPr="005059C4">
        <w:rPr>
          <w:sz w:val="20"/>
          <w:szCs w:val="20"/>
        </w:rPr>
        <w:t>%</w:t>
      </w:r>
      <w:r w:rsidR="00342A70" w:rsidRPr="005059C4">
        <w:rPr>
          <w:sz w:val="20"/>
          <w:szCs w:val="20"/>
        </w:rPr>
        <w:t>.</w:t>
      </w:r>
      <w:r w:rsidR="00B006DA">
        <w:rPr>
          <w:sz w:val="20"/>
          <w:szCs w:val="20"/>
        </w:rPr>
        <w:t xml:space="preserve"> </w:t>
      </w:r>
      <w:r w:rsidR="00342A70" w:rsidRPr="005059C4">
        <w:rPr>
          <w:sz w:val="20"/>
          <w:szCs w:val="20"/>
        </w:rPr>
        <w:t>Th</w:t>
      </w:r>
      <w:r w:rsidR="009D2418" w:rsidRPr="005059C4">
        <w:rPr>
          <w:sz w:val="20"/>
          <w:szCs w:val="20"/>
        </w:rPr>
        <w:t>ree faculty</w:t>
      </w:r>
      <w:r w:rsidR="00342A70" w:rsidRPr="005059C4">
        <w:rPr>
          <w:sz w:val="20"/>
          <w:szCs w:val="20"/>
        </w:rPr>
        <w:t xml:space="preserve"> comment</w:t>
      </w:r>
      <w:r w:rsidR="009D2418" w:rsidRPr="005059C4">
        <w:rPr>
          <w:sz w:val="20"/>
          <w:szCs w:val="20"/>
        </w:rPr>
        <w:t>ed</w:t>
      </w:r>
      <w:r w:rsidR="00342A70" w:rsidRPr="005059C4">
        <w:rPr>
          <w:sz w:val="20"/>
          <w:szCs w:val="20"/>
        </w:rPr>
        <w:t xml:space="preserve"> that the presentation would be resourceful and beneficial in </w:t>
      </w:r>
      <w:r w:rsidR="009D2418" w:rsidRPr="005059C4">
        <w:rPr>
          <w:sz w:val="20"/>
          <w:szCs w:val="20"/>
        </w:rPr>
        <w:t xml:space="preserve">making </w:t>
      </w:r>
      <w:r w:rsidR="00342A70" w:rsidRPr="005059C4">
        <w:rPr>
          <w:sz w:val="20"/>
          <w:szCs w:val="20"/>
        </w:rPr>
        <w:t>c</w:t>
      </w:r>
      <w:r w:rsidR="009D2418" w:rsidRPr="005059C4">
        <w:rPr>
          <w:sz w:val="20"/>
          <w:szCs w:val="20"/>
        </w:rPr>
        <w:t xml:space="preserve">urriculum </w:t>
      </w:r>
      <w:r w:rsidR="00342A70" w:rsidRPr="005059C4">
        <w:rPr>
          <w:sz w:val="20"/>
          <w:szCs w:val="20"/>
        </w:rPr>
        <w:t>decision</w:t>
      </w:r>
      <w:r w:rsidR="009D2418" w:rsidRPr="005059C4">
        <w:rPr>
          <w:sz w:val="20"/>
          <w:szCs w:val="20"/>
        </w:rPr>
        <w:t xml:space="preserve"> about course summative assessments for the next academic year. </w:t>
      </w:r>
      <w:r w:rsidR="00342A70" w:rsidRPr="005059C4">
        <w:rPr>
          <w:sz w:val="20"/>
          <w:szCs w:val="20"/>
        </w:rPr>
        <w:t>One question related to t</w:t>
      </w:r>
      <w:r w:rsidR="00000591" w:rsidRPr="005059C4">
        <w:rPr>
          <w:sz w:val="20"/>
          <w:szCs w:val="20"/>
        </w:rPr>
        <w:t>ime allotted for</w:t>
      </w:r>
      <w:r w:rsidR="000F3B5D" w:rsidRPr="005059C4">
        <w:rPr>
          <w:sz w:val="20"/>
          <w:szCs w:val="20"/>
        </w:rPr>
        <w:t xml:space="preserve"> the presentation</w:t>
      </w:r>
      <w:r w:rsidR="00000591" w:rsidRPr="005059C4">
        <w:rPr>
          <w:sz w:val="20"/>
          <w:szCs w:val="20"/>
        </w:rPr>
        <w:t xml:space="preserve"> received 80%. </w:t>
      </w:r>
      <w:r w:rsidR="00342A70" w:rsidRPr="005059C4">
        <w:rPr>
          <w:sz w:val="20"/>
          <w:szCs w:val="20"/>
        </w:rPr>
        <w:t>A</w:t>
      </w:r>
      <w:r w:rsidR="00FA2030" w:rsidRPr="005059C4">
        <w:rPr>
          <w:sz w:val="20"/>
          <w:szCs w:val="20"/>
        </w:rPr>
        <w:t xml:space="preserve"> few comments </w:t>
      </w:r>
      <w:r w:rsidR="00000591" w:rsidRPr="005059C4">
        <w:rPr>
          <w:sz w:val="20"/>
          <w:szCs w:val="20"/>
        </w:rPr>
        <w:t>expressed that</w:t>
      </w:r>
      <w:r w:rsidR="000F3B5D" w:rsidRPr="005059C4">
        <w:rPr>
          <w:sz w:val="20"/>
          <w:szCs w:val="20"/>
        </w:rPr>
        <w:t xml:space="preserve"> </w:t>
      </w:r>
      <w:r w:rsidR="00342A70" w:rsidRPr="005059C4">
        <w:rPr>
          <w:sz w:val="20"/>
          <w:szCs w:val="20"/>
        </w:rPr>
        <w:t>more time is needed to discuss the use of two s</w:t>
      </w:r>
      <w:r w:rsidR="000F3B5D" w:rsidRPr="005059C4">
        <w:rPr>
          <w:sz w:val="20"/>
          <w:szCs w:val="20"/>
        </w:rPr>
        <w:t>ummative assessments</w:t>
      </w:r>
      <w:r w:rsidR="00342A70" w:rsidRPr="005059C4">
        <w:rPr>
          <w:sz w:val="20"/>
          <w:szCs w:val="20"/>
        </w:rPr>
        <w:t xml:space="preserve">. </w:t>
      </w:r>
    </w:p>
    <w:p w14:paraId="6C5F9C3A" w14:textId="77777777" w:rsidR="00066A81" w:rsidRPr="005059C4" w:rsidRDefault="00066A81" w:rsidP="00DF14EA">
      <w:pPr>
        <w:contextualSpacing/>
        <w:mirrorIndents/>
        <w:jc w:val="both"/>
        <w:rPr>
          <w:rFonts w:eastAsiaTheme="minorHAnsi"/>
          <w:color w:val="FF0000"/>
          <w:sz w:val="20"/>
          <w:szCs w:val="20"/>
        </w:rPr>
      </w:pPr>
    </w:p>
    <w:p w14:paraId="4E872075" w14:textId="2AF95EC6" w:rsidR="00FA7B6B" w:rsidRDefault="00BE368A" w:rsidP="00DF14EA">
      <w:pPr>
        <w:contextualSpacing/>
        <w:mirrorIndents/>
        <w:jc w:val="both"/>
        <w:rPr>
          <w:rFonts w:eastAsiaTheme="minorHAnsi"/>
          <w:sz w:val="20"/>
          <w:szCs w:val="20"/>
        </w:rPr>
      </w:pPr>
      <w:r w:rsidRPr="005059C4">
        <w:rPr>
          <w:sz w:val="20"/>
          <w:szCs w:val="20"/>
        </w:rPr>
        <w:t xml:space="preserve">The results identified that the ATI RN pharmacology exam scores had no significant effect on the student’s performance on the pharmacology content on the ATI RN Comprehensive Predictor examination. </w:t>
      </w:r>
      <w:r w:rsidRPr="005059C4">
        <w:rPr>
          <w:rFonts w:eastAsiaTheme="minorHAnsi"/>
          <w:sz w:val="20"/>
          <w:szCs w:val="20"/>
        </w:rPr>
        <w:t xml:space="preserve">The analyzed data revealed that in the </w:t>
      </w:r>
      <w:proofErr w:type="gramStart"/>
      <w:r w:rsidRPr="005059C4">
        <w:rPr>
          <w:rFonts w:eastAsiaTheme="minorHAnsi"/>
          <w:sz w:val="20"/>
          <w:szCs w:val="20"/>
        </w:rPr>
        <w:t>Spring</w:t>
      </w:r>
      <w:proofErr w:type="gramEnd"/>
      <w:r w:rsidRPr="005059C4">
        <w:rPr>
          <w:rFonts w:eastAsiaTheme="minorHAnsi"/>
          <w:sz w:val="20"/>
          <w:szCs w:val="20"/>
        </w:rPr>
        <w:t xml:space="preserve"> 2019, 30 out of the 37 students did better on the pharmacology portion of ATI RN Comprehensive Predictor exam than the ATI RN-Pharmacology exam. The scores ranged from +0.6 to 33.3 percent. The seven students that scored better on Pharmacology better ranged from 0.2 to 10.2. This information demonstrates that 81% of the students passed the content. In the </w:t>
      </w:r>
      <w:proofErr w:type="gramStart"/>
      <w:r w:rsidRPr="005059C4">
        <w:rPr>
          <w:rFonts w:eastAsiaTheme="minorHAnsi"/>
          <w:sz w:val="20"/>
          <w:szCs w:val="20"/>
        </w:rPr>
        <w:t>Fall</w:t>
      </w:r>
      <w:proofErr w:type="gramEnd"/>
      <w:r w:rsidRPr="005059C4">
        <w:rPr>
          <w:rFonts w:eastAsiaTheme="minorHAnsi"/>
          <w:sz w:val="20"/>
          <w:szCs w:val="20"/>
        </w:rPr>
        <w:t xml:space="preserve"> 2019 cohort, </w:t>
      </w:r>
      <w:r w:rsidR="002005C7" w:rsidRPr="005059C4">
        <w:rPr>
          <w:rFonts w:eastAsiaTheme="minorHAnsi"/>
          <w:sz w:val="20"/>
          <w:szCs w:val="20"/>
        </w:rPr>
        <w:t>41</w:t>
      </w:r>
      <w:r w:rsidRPr="005059C4">
        <w:rPr>
          <w:rFonts w:eastAsiaTheme="minorHAnsi"/>
          <w:sz w:val="20"/>
          <w:szCs w:val="20"/>
        </w:rPr>
        <w:t xml:space="preserve"> scores were reviewed, all students scored higher on the pharmacology portion of the Comprehensive Predictor exam than the Pharmacology exam. The scores ranged from +1.0</w:t>
      </w:r>
      <w:r w:rsidR="002005C7" w:rsidRPr="005059C4">
        <w:rPr>
          <w:rFonts w:eastAsiaTheme="minorHAnsi"/>
          <w:sz w:val="20"/>
          <w:szCs w:val="20"/>
        </w:rPr>
        <w:t xml:space="preserve"> to </w:t>
      </w:r>
      <w:r w:rsidRPr="005059C4">
        <w:rPr>
          <w:rFonts w:eastAsiaTheme="minorHAnsi"/>
          <w:sz w:val="20"/>
          <w:szCs w:val="20"/>
        </w:rPr>
        <w:t>52.3 percent. This information reveals that 100% did better on the Pharmacology portion of the ATI-RN Comprehensive exam</w:t>
      </w:r>
      <w:r w:rsidR="00FA7B6B" w:rsidRPr="005059C4">
        <w:rPr>
          <w:rFonts w:eastAsiaTheme="minorHAnsi"/>
          <w:sz w:val="20"/>
          <w:szCs w:val="20"/>
        </w:rPr>
        <w:t xml:space="preserve">. </w:t>
      </w:r>
    </w:p>
    <w:p w14:paraId="3BB59597" w14:textId="77777777" w:rsidR="00066A81" w:rsidRPr="005059C4" w:rsidRDefault="00066A81" w:rsidP="00DF14EA">
      <w:pPr>
        <w:contextualSpacing/>
        <w:mirrorIndents/>
        <w:jc w:val="both"/>
        <w:rPr>
          <w:sz w:val="20"/>
          <w:szCs w:val="20"/>
        </w:rPr>
      </w:pPr>
    </w:p>
    <w:p w14:paraId="4AFE23A4" w14:textId="40389C85" w:rsidR="00BE368A" w:rsidRPr="009C1B3C" w:rsidRDefault="00BE368A" w:rsidP="00DF14EA">
      <w:pPr>
        <w:contextualSpacing/>
        <w:mirrorIndents/>
        <w:jc w:val="both"/>
        <w:rPr>
          <w:rFonts w:eastAsiaTheme="minorHAnsi"/>
          <w:b/>
          <w:bCs/>
          <w:sz w:val="22"/>
          <w:szCs w:val="22"/>
        </w:rPr>
      </w:pPr>
      <w:r w:rsidRPr="009C1B3C">
        <w:rPr>
          <w:rFonts w:eastAsiaTheme="minorHAnsi"/>
          <w:b/>
          <w:bCs/>
          <w:sz w:val="22"/>
          <w:szCs w:val="22"/>
        </w:rPr>
        <w:t>Discussion</w:t>
      </w:r>
    </w:p>
    <w:p w14:paraId="56D96BEA" w14:textId="77777777" w:rsidR="00066A81" w:rsidRPr="005059C4" w:rsidRDefault="00066A81" w:rsidP="00DF14EA">
      <w:pPr>
        <w:contextualSpacing/>
        <w:mirrorIndents/>
        <w:jc w:val="both"/>
        <w:rPr>
          <w:rFonts w:eastAsiaTheme="minorHAnsi"/>
          <w:bCs/>
          <w:sz w:val="20"/>
          <w:szCs w:val="20"/>
        </w:rPr>
      </w:pPr>
    </w:p>
    <w:p w14:paraId="20E8C84F" w14:textId="057E90A4" w:rsidR="00066A81" w:rsidRPr="00066A81" w:rsidRDefault="00BE368A" w:rsidP="00DF14EA">
      <w:pPr>
        <w:contextualSpacing/>
        <w:mirrorIndents/>
        <w:jc w:val="both"/>
        <w:rPr>
          <w:sz w:val="20"/>
          <w:szCs w:val="20"/>
        </w:rPr>
      </w:pPr>
      <w:r w:rsidRPr="005059C4">
        <w:rPr>
          <w:sz w:val="20"/>
          <w:szCs w:val="20"/>
        </w:rPr>
        <w:t xml:space="preserve">Faculty addressed the following two questions: Does the ATI RN Pharmacology examination provide an accurate assessment of the learned content? Do the ATI RN Pharmacology results correlate with the students’ performance on the ATI RN Comprehensive Predictor examination? </w:t>
      </w:r>
    </w:p>
    <w:p w14:paraId="7AEEBD84" w14:textId="77777777" w:rsidR="00BE368A" w:rsidRPr="005059C4" w:rsidRDefault="00BE368A" w:rsidP="00DF14EA">
      <w:pPr>
        <w:contextualSpacing/>
        <w:mirrorIndents/>
        <w:jc w:val="both"/>
        <w:rPr>
          <w:sz w:val="20"/>
          <w:szCs w:val="20"/>
        </w:rPr>
      </w:pPr>
      <w:r w:rsidRPr="005059C4">
        <w:rPr>
          <w:sz w:val="20"/>
          <w:szCs w:val="20"/>
        </w:rPr>
        <w:t xml:space="preserve">The weight of the exams makes a difference in student’s performance. </w:t>
      </w:r>
    </w:p>
    <w:p w14:paraId="62766E84" w14:textId="77777777" w:rsidR="00BE368A" w:rsidRPr="005059C4" w:rsidRDefault="00BE368A" w:rsidP="00DF14EA">
      <w:pPr>
        <w:contextualSpacing/>
        <w:mirrorIndents/>
        <w:jc w:val="both"/>
        <w:rPr>
          <w:sz w:val="20"/>
          <w:szCs w:val="20"/>
        </w:rPr>
      </w:pPr>
      <w:r w:rsidRPr="005059C4">
        <w:rPr>
          <w:sz w:val="20"/>
          <w:szCs w:val="20"/>
        </w:rPr>
        <w:t>Some faculty do not think students took the pharmacology exam serious</w:t>
      </w:r>
    </w:p>
    <w:p w14:paraId="596879E8" w14:textId="7FC2CBEA" w:rsidR="00BE368A" w:rsidRPr="005059C4" w:rsidRDefault="00BE368A" w:rsidP="00DF14EA">
      <w:pPr>
        <w:contextualSpacing/>
        <w:mirrorIndents/>
        <w:jc w:val="both"/>
        <w:rPr>
          <w:sz w:val="20"/>
          <w:szCs w:val="20"/>
        </w:rPr>
      </w:pPr>
      <w:r w:rsidRPr="005059C4">
        <w:rPr>
          <w:sz w:val="20"/>
          <w:szCs w:val="20"/>
        </w:rPr>
        <w:t>Students were not required to meet a benchmark on the pharmacology exam but were required to meet a benchmark on the ATI RN-Comprehensive Predictor exam to exit the program.</w:t>
      </w:r>
      <w:r w:rsidR="00E9291B" w:rsidRPr="005059C4">
        <w:rPr>
          <w:sz w:val="20"/>
          <w:szCs w:val="20"/>
        </w:rPr>
        <w:t xml:space="preserve"> </w:t>
      </w:r>
    </w:p>
    <w:p w14:paraId="25561B1C" w14:textId="637F8837" w:rsidR="00BE368A" w:rsidRDefault="00BE368A" w:rsidP="00DF14EA">
      <w:pPr>
        <w:contextualSpacing/>
        <w:mirrorIndents/>
        <w:jc w:val="both"/>
        <w:rPr>
          <w:sz w:val="20"/>
          <w:szCs w:val="20"/>
        </w:rPr>
      </w:pPr>
      <w:r w:rsidRPr="005059C4">
        <w:rPr>
          <w:sz w:val="20"/>
          <w:szCs w:val="20"/>
        </w:rPr>
        <w:t xml:space="preserve">What is the relevance of administering </w:t>
      </w:r>
      <w:r w:rsidR="5E480F91" w:rsidRPr="005059C4">
        <w:rPr>
          <w:sz w:val="20"/>
          <w:szCs w:val="20"/>
        </w:rPr>
        <w:t>two</w:t>
      </w:r>
      <w:r w:rsidRPr="005059C4">
        <w:rPr>
          <w:sz w:val="20"/>
          <w:szCs w:val="20"/>
        </w:rPr>
        <w:t xml:space="preserve"> exam</w:t>
      </w:r>
      <w:r w:rsidR="01706200" w:rsidRPr="005059C4">
        <w:rPr>
          <w:sz w:val="20"/>
          <w:szCs w:val="20"/>
        </w:rPr>
        <w:t>s</w:t>
      </w:r>
      <w:r w:rsidRPr="005059C4">
        <w:rPr>
          <w:sz w:val="20"/>
          <w:szCs w:val="20"/>
        </w:rPr>
        <w:t xml:space="preserve"> if the students to assess pharmacology knowledge?</w:t>
      </w:r>
    </w:p>
    <w:p w14:paraId="2E999F5E" w14:textId="77777777" w:rsidR="00066A81" w:rsidRPr="005059C4" w:rsidRDefault="00066A81" w:rsidP="00DF14EA">
      <w:pPr>
        <w:contextualSpacing/>
        <w:mirrorIndents/>
        <w:jc w:val="both"/>
        <w:rPr>
          <w:sz w:val="20"/>
          <w:szCs w:val="20"/>
        </w:rPr>
      </w:pPr>
    </w:p>
    <w:p w14:paraId="4FEE0713" w14:textId="56839683" w:rsidR="2657135C" w:rsidRPr="00A23CE6" w:rsidRDefault="2657135C" w:rsidP="00DF14EA">
      <w:pPr>
        <w:contextualSpacing/>
        <w:mirrorIndents/>
        <w:jc w:val="both"/>
        <w:rPr>
          <w:b/>
          <w:bCs/>
          <w:sz w:val="22"/>
          <w:szCs w:val="22"/>
        </w:rPr>
      </w:pPr>
      <w:r w:rsidRPr="00A23CE6">
        <w:rPr>
          <w:b/>
          <w:bCs/>
          <w:sz w:val="22"/>
          <w:szCs w:val="22"/>
        </w:rPr>
        <w:t>Limitations</w:t>
      </w:r>
    </w:p>
    <w:p w14:paraId="113216BB" w14:textId="77777777" w:rsidR="00066A81" w:rsidRPr="005059C4" w:rsidRDefault="00066A81" w:rsidP="00DF14EA">
      <w:pPr>
        <w:contextualSpacing/>
        <w:mirrorIndents/>
        <w:jc w:val="both"/>
        <w:rPr>
          <w:bCs/>
          <w:sz w:val="20"/>
          <w:szCs w:val="20"/>
        </w:rPr>
      </w:pPr>
    </w:p>
    <w:p w14:paraId="5888E7DC" w14:textId="499EB011" w:rsidR="2EF6DD99" w:rsidRDefault="2EF6DD99" w:rsidP="00DF14EA">
      <w:pPr>
        <w:contextualSpacing/>
        <w:mirrorIndents/>
        <w:jc w:val="both"/>
        <w:rPr>
          <w:sz w:val="20"/>
          <w:szCs w:val="20"/>
        </w:rPr>
      </w:pPr>
      <w:r w:rsidRPr="005059C4">
        <w:rPr>
          <w:sz w:val="20"/>
          <w:szCs w:val="20"/>
        </w:rPr>
        <w:t xml:space="preserve">One of the </w:t>
      </w:r>
      <w:r w:rsidR="20F8E13C" w:rsidRPr="005059C4">
        <w:rPr>
          <w:sz w:val="20"/>
          <w:szCs w:val="20"/>
        </w:rPr>
        <w:t>limitations</w:t>
      </w:r>
      <w:r w:rsidRPr="005059C4">
        <w:rPr>
          <w:sz w:val="20"/>
          <w:szCs w:val="20"/>
        </w:rPr>
        <w:t xml:space="preserve"> of this study was </w:t>
      </w:r>
      <w:r w:rsidR="358C2B6C" w:rsidRPr="005059C4">
        <w:rPr>
          <w:sz w:val="20"/>
          <w:szCs w:val="20"/>
        </w:rPr>
        <w:t xml:space="preserve">the </w:t>
      </w:r>
      <w:r w:rsidR="5B06116B" w:rsidRPr="005059C4">
        <w:rPr>
          <w:sz w:val="20"/>
          <w:szCs w:val="20"/>
        </w:rPr>
        <w:t>decrease</w:t>
      </w:r>
      <w:r w:rsidR="6CB46E8F" w:rsidRPr="005059C4">
        <w:rPr>
          <w:sz w:val="20"/>
          <w:szCs w:val="20"/>
        </w:rPr>
        <w:t>d</w:t>
      </w:r>
      <w:r w:rsidR="5B06116B" w:rsidRPr="005059C4">
        <w:rPr>
          <w:sz w:val="20"/>
          <w:szCs w:val="20"/>
        </w:rPr>
        <w:t xml:space="preserve"> in the </w:t>
      </w:r>
      <w:r w:rsidR="5DFC47D3" w:rsidRPr="005059C4">
        <w:rPr>
          <w:sz w:val="20"/>
          <w:szCs w:val="20"/>
        </w:rPr>
        <w:t>generalizability</w:t>
      </w:r>
      <w:r w:rsidR="5B06116B" w:rsidRPr="005059C4">
        <w:rPr>
          <w:sz w:val="20"/>
          <w:szCs w:val="20"/>
        </w:rPr>
        <w:t xml:space="preserve"> of the findings due to </w:t>
      </w:r>
      <w:r w:rsidR="1D58EDD1" w:rsidRPr="005059C4">
        <w:rPr>
          <w:sz w:val="20"/>
          <w:szCs w:val="20"/>
        </w:rPr>
        <w:t xml:space="preserve">a </w:t>
      </w:r>
      <w:r w:rsidR="7562D7EF" w:rsidRPr="005059C4">
        <w:rPr>
          <w:sz w:val="20"/>
          <w:szCs w:val="20"/>
        </w:rPr>
        <w:t xml:space="preserve">small </w:t>
      </w:r>
      <w:r w:rsidR="132F70C5" w:rsidRPr="005059C4">
        <w:rPr>
          <w:sz w:val="20"/>
          <w:szCs w:val="20"/>
        </w:rPr>
        <w:t xml:space="preserve">sample </w:t>
      </w:r>
      <w:r w:rsidRPr="005059C4">
        <w:rPr>
          <w:sz w:val="20"/>
          <w:szCs w:val="20"/>
        </w:rPr>
        <w:t>size</w:t>
      </w:r>
      <w:r w:rsidR="00A2337E" w:rsidRPr="005059C4">
        <w:rPr>
          <w:sz w:val="20"/>
          <w:szCs w:val="20"/>
        </w:rPr>
        <w:t>.</w:t>
      </w:r>
      <w:r w:rsidRPr="005059C4">
        <w:rPr>
          <w:sz w:val="20"/>
          <w:szCs w:val="20"/>
        </w:rPr>
        <w:t xml:space="preserve"> </w:t>
      </w:r>
      <w:r w:rsidR="5B075F3F" w:rsidRPr="005059C4">
        <w:rPr>
          <w:sz w:val="20"/>
          <w:szCs w:val="20"/>
        </w:rPr>
        <w:t>Another limitation</w:t>
      </w:r>
      <w:r w:rsidR="3974285B" w:rsidRPr="005059C4">
        <w:rPr>
          <w:sz w:val="20"/>
          <w:szCs w:val="20"/>
        </w:rPr>
        <w:t xml:space="preserve"> </w:t>
      </w:r>
      <w:r w:rsidR="54B54A88" w:rsidRPr="005059C4">
        <w:rPr>
          <w:sz w:val="20"/>
          <w:szCs w:val="20"/>
        </w:rPr>
        <w:t xml:space="preserve">is the study was </w:t>
      </w:r>
      <w:r w:rsidR="3974285B" w:rsidRPr="005059C4">
        <w:rPr>
          <w:sz w:val="20"/>
          <w:szCs w:val="20"/>
        </w:rPr>
        <w:t>conducted</w:t>
      </w:r>
      <w:r w:rsidR="3DA18AE6" w:rsidRPr="005059C4">
        <w:rPr>
          <w:sz w:val="20"/>
          <w:szCs w:val="20"/>
        </w:rPr>
        <w:t xml:space="preserve"> at a single associate degree </w:t>
      </w:r>
      <w:r w:rsidR="00EA7C70" w:rsidRPr="005059C4">
        <w:rPr>
          <w:sz w:val="20"/>
          <w:szCs w:val="20"/>
        </w:rPr>
        <w:t xml:space="preserve">nursing </w:t>
      </w:r>
      <w:r w:rsidR="3DA18AE6" w:rsidRPr="005059C4">
        <w:rPr>
          <w:sz w:val="20"/>
          <w:szCs w:val="20"/>
        </w:rPr>
        <w:t>program</w:t>
      </w:r>
      <w:r w:rsidR="00D52B8D" w:rsidRPr="005059C4">
        <w:rPr>
          <w:sz w:val="20"/>
          <w:szCs w:val="20"/>
        </w:rPr>
        <w:t xml:space="preserve"> and </w:t>
      </w:r>
      <w:r w:rsidR="719F0BBB" w:rsidRPr="005059C4">
        <w:rPr>
          <w:sz w:val="20"/>
          <w:szCs w:val="20"/>
        </w:rPr>
        <w:t xml:space="preserve">lack studies done </w:t>
      </w:r>
      <w:r w:rsidR="7805A21F" w:rsidRPr="005059C4">
        <w:rPr>
          <w:sz w:val="20"/>
          <w:szCs w:val="20"/>
        </w:rPr>
        <w:t xml:space="preserve">using two </w:t>
      </w:r>
      <w:r w:rsidR="30C5BEFB" w:rsidRPr="005059C4">
        <w:rPr>
          <w:sz w:val="20"/>
          <w:szCs w:val="20"/>
        </w:rPr>
        <w:t xml:space="preserve">standardized </w:t>
      </w:r>
      <w:r w:rsidR="7EF59CF8" w:rsidRPr="005059C4">
        <w:rPr>
          <w:sz w:val="20"/>
          <w:szCs w:val="20"/>
        </w:rPr>
        <w:t xml:space="preserve">summative </w:t>
      </w:r>
      <w:r w:rsidR="3D111DB5" w:rsidRPr="005059C4">
        <w:rPr>
          <w:sz w:val="20"/>
          <w:szCs w:val="20"/>
        </w:rPr>
        <w:t xml:space="preserve">assessments </w:t>
      </w:r>
      <w:r w:rsidR="2BEB2D49" w:rsidRPr="005059C4">
        <w:rPr>
          <w:sz w:val="20"/>
          <w:szCs w:val="20"/>
        </w:rPr>
        <w:t xml:space="preserve">to </w:t>
      </w:r>
      <w:r w:rsidR="3EED8108" w:rsidRPr="005059C4">
        <w:rPr>
          <w:sz w:val="20"/>
          <w:szCs w:val="20"/>
        </w:rPr>
        <w:t xml:space="preserve">measure </w:t>
      </w:r>
      <w:r w:rsidR="00EA7C70" w:rsidRPr="005059C4">
        <w:rPr>
          <w:sz w:val="20"/>
          <w:szCs w:val="20"/>
        </w:rPr>
        <w:t>one</w:t>
      </w:r>
      <w:r w:rsidR="3AAD5C93" w:rsidRPr="005059C4">
        <w:rPr>
          <w:sz w:val="20"/>
          <w:szCs w:val="20"/>
        </w:rPr>
        <w:t xml:space="preserve"> specific topic</w:t>
      </w:r>
      <w:r w:rsidR="3EED8108" w:rsidRPr="005059C4">
        <w:rPr>
          <w:sz w:val="20"/>
          <w:szCs w:val="20"/>
        </w:rPr>
        <w:t>.</w:t>
      </w:r>
      <w:r w:rsidR="22CF5905" w:rsidRPr="005059C4">
        <w:rPr>
          <w:sz w:val="20"/>
          <w:szCs w:val="20"/>
        </w:rPr>
        <w:t xml:space="preserve"> The inclusion of using </w:t>
      </w:r>
      <w:r w:rsidR="23538B27" w:rsidRPr="005059C4">
        <w:rPr>
          <w:sz w:val="20"/>
          <w:szCs w:val="20"/>
        </w:rPr>
        <w:t xml:space="preserve">two summative assessments to measure the same topic could have an impact on </w:t>
      </w:r>
      <w:r w:rsidR="00EA7C70" w:rsidRPr="005059C4">
        <w:rPr>
          <w:sz w:val="20"/>
          <w:szCs w:val="20"/>
        </w:rPr>
        <w:t xml:space="preserve">the </w:t>
      </w:r>
      <w:r w:rsidR="23538B27" w:rsidRPr="005059C4">
        <w:rPr>
          <w:sz w:val="20"/>
          <w:szCs w:val="20"/>
        </w:rPr>
        <w:t>results.</w:t>
      </w:r>
    </w:p>
    <w:p w14:paraId="67D5557D" w14:textId="77777777" w:rsidR="00066A81" w:rsidRPr="005059C4" w:rsidRDefault="00066A81" w:rsidP="00DF14EA">
      <w:pPr>
        <w:contextualSpacing/>
        <w:mirrorIndents/>
        <w:jc w:val="both"/>
        <w:rPr>
          <w:sz w:val="20"/>
          <w:szCs w:val="20"/>
        </w:rPr>
      </w:pPr>
    </w:p>
    <w:p w14:paraId="53FB509E" w14:textId="77777777" w:rsidR="00BE368A" w:rsidRPr="00282A2F" w:rsidRDefault="00BE368A" w:rsidP="00DF14EA">
      <w:pPr>
        <w:contextualSpacing/>
        <w:mirrorIndents/>
        <w:jc w:val="both"/>
        <w:rPr>
          <w:rFonts w:eastAsia="Calibri"/>
          <w:b/>
          <w:bCs/>
          <w:sz w:val="22"/>
          <w:szCs w:val="22"/>
        </w:rPr>
      </w:pPr>
      <w:r w:rsidRPr="00282A2F">
        <w:rPr>
          <w:rFonts w:eastAsia="Calibri"/>
          <w:b/>
          <w:bCs/>
          <w:sz w:val="22"/>
          <w:szCs w:val="22"/>
        </w:rPr>
        <w:lastRenderedPageBreak/>
        <w:t>Conclusion and Significance</w:t>
      </w:r>
    </w:p>
    <w:p w14:paraId="778734D1" w14:textId="77777777" w:rsidR="005C0718" w:rsidRDefault="005C0718" w:rsidP="00DF14EA">
      <w:pPr>
        <w:contextualSpacing/>
        <w:mirrorIndents/>
        <w:jc w:val="both"/>
        <w:rPr>
          <w:rFonts w:eastAsia="Calibri"/>
          <w:sz w:val="20"/>
          <w:szCs w:val="20"/>
        </w:rPr>
      </w:pPr>
    </w:p>
    <w:p w14:paraId="2D492988" w14:textId="2516D21C" w:rsidR="00932010" w:rsidRDefault="002772F1" w:rsidP="00DF14EA">
      <w:pPr>
        <w:contextualSpacing/>
        <w:mirrorIndents/>
        <w:jc w:val="both"/>
        <w:rPr>
          <w:sz w:val="20"/>
          <w:szCs w:val="20"/>
        </w:rPr>
      </w:pPr>
      <w:r w:rsidRPr="005059C4">
        <w:rPr>
          <w:rFonts w:eastAsia="Calibri"/>
          <w:sz w:val="20"/>
          <w:szCs w:val="20"/>
        </w:rPr>
        <w:t>To provide accurate results</w:t>
      </w:r>
      <w:r w:rsidR="002D2703" w:rsidRPr="005059C4">
        <w:rPr>
          <w:rFonts w:eastAsia="Calibri"/>
          <w:sz w:val="20"/>
          <w:szCs w:val="20"/>
        </w:rPr>
        <w:t>,</w:t>
      </w:r>
      <w:r w:rsidRPr="005059C4">
        <w:rPr>
          <w:rFonts w:eastAsia="Calibri"/>
          <w:sz w:val="20"/>
          <w:szCs w:val="20"/>
        </w:rPr>
        <w:t xml:space="preserve"> various</w:t>
      </w:r>
      <w:r w:rsidR="00A2337E" w:rsidRPr="005059C4">
        <w:rPr>
          <w:rFonts w:eastAsia="Calibri"/>
          <w:sz w:val="20"/>
          <w:szCs w:val="20"/>
        </w:rPr>
        <w:t xml:space="preserve"> forms</w:t>
      </w:r>
      <w:r w:rsidRPr="005059C4">
        <w:rPr>
          <w:rFonts w:eastAsia="Calibri"/>
          <w:sz w:val="20"/>
          <w:szCs w:val="20"/>
        </w:rPr>
        <w:t xml:space="preserve"> of</w:t>
      </w:r>
      <w:r w:rsidR="00A2337E" w:rsidRPr="005059C4">
        <w:rPr>
          <w:rFonts w:eastAsia="Calibri"/>
          <w:sz w:val="20"/>
          <w:szCs w:val="20"/>
        </w:rPr>
        <w:t xml:space="preserve"> assessment</w:t>
      </w:r>
      <w:r w:rsidRPr="005059C4">
        <w:rPr>
          <w:rFonts w:eastAsia="Calibri"/>
          <w:sz w:val="20"/>
          <w:szCs w:val="20"/>
        </w:rPr>
        <w:t>s</w:t>
      </w:r>
      <w:r w:rsidR="00A2337E" w:rsidRPr="005059C4">
        <w:rPr>
          <w:rFonts w:eastAsia="Calibri"/>
          <w:sz w:val="20"/>
          <w:szCs w:val="20"/>
        </w:rPr>
        <w:t xml:space="preserve"> should be utilized to </w:t>
      </w:r>
      <w:r w:rsidR="00C821BC" w:rsidRPr="005059C4">
        <w:rPr>
          <w:rFonts w:eastAsia="Calibri"/>
          <w:sz w:val="20"/>
          <w:szCs w:val="20"/>
        </w:rPr>
        <w:t>measure</w:t>
      </w:r>
      <w:r w:rsidR="00A2337E" w:rsidRPr="005059C4">
        <w:rPr>
          <w:rFonts w:eastAsia="Calibri"/>
          <w:sz w:val="20"/>
          <w:szCs w:val="20"/>
        </w:rPr>
        <w:t xml:space="preserve"> one’s knowledge. </w:t>
      </w:r>
      <w:r w:rsidR="0087171F" w:rsidRPr="005059C4">
        <w:rPr>
          <w:rFonts w:eastAsia="Calibri"/>
          <w:sz w:val="20"/>
          <w:szCs w:val="20"/>
        </w:rPr>
        <w:t>O</w:t>
      </w:r>
      <w:r w:rsidR="0466491E" w:rsidRPr="005059C4">
        <w:rPr>
          <w:rFonts w:eastAsia="Calibri"/>
          <w:sz w:val="20"/>
          <w:szCs w:val="20"/>
        </w:rPr>
        <w:t>ne of t</w:t>
      </w:r>
      <w:r w:rsidR="48779989" w:rsidRPr="005059C4">
        <w:rPr>
          <w:rFonts w:eastAsia="Calibri"/>
          <w:sz w:val="20"/>
          <w:szCs w:val="20"/>
        </w:rPr>
        <w:t xml:space="preserve">he best </w:t>
      </w:r>
      <w:r w:rsidR="538DCF0D" w:rsidRPr="005059C4">
        <w:rPr>
          <w:rFonts w:eastAsia="Calibri"/>
          <w:sz w:val="20"/>
          <w:szCs w:val="20"/>
        </w:rPr>
        <w:t>approaches</w:t>
      </w:r>
      <w:r w:rsidR="48779989" w:rsidRPr="005059C4">
        <w:rPr>
          <w:rFonts w:eastAsia="Calibri"/>
          <w:sz w:val="20"/>
          <w:szCs w:val="20"/>
        </w:rPr>
        <w:t xml:space="preserve"> to </w:t>
      </w:r>
      <w:r w:rsidR="4BA3C82E" w:rsidRPr="005059C4">
        <w:rPr>
          <w:rFonts w:eastAsia="Calibri"/>
          <w:sz w:val="20"/>
          <w:szCs w:val="20"/>
        </w:rPr>
        <w:t xml:space="preserve">assess the level of student’s knowledge is to first decide </w:t>
      </w:r>
      <w:r w:rsidR="341306C8" w:rsidRPr="005059C4">
        <w:rPr>
          <w:rFonts w:eastAsia="Calibri"/>
          <w:sz w:val="20"/>
          <w:szCs w:val="20"/>
        </w:rPr>
        <w:t>the value of an exam</w:t>
      </w:r>
      <w:r w:rsidR="00D52B8D" w:rsidRPr="005059C4">
        <w:rPr>
          <w:rFonts w:eastAsia="Calibri"/>
          <w:sz w:val="20"/>
          <w:szCs w:val="20"/>
        </w:rPr>
        <w:t xml:space="preserve">. </w:t>
      </w:r>
      <w:r w:rsidR="001F76C8" w:rsidRPr="005059C4">
        <w:rPr>
          <w:rFonts w:eastAsia="Calibri"/>
          <w:sz w:val="20"/>
          <w:szCs w:val="20"/>
        </w:rPr>
        <w:t>Stud</w:t>
      </w:r>
      <w:r w:rsidR="00F3347E" w:rsidRPr="005059C4">
        <w:rPr>
          <w:rFonts w:eastAsia="Calibri"/>
          <w:sz w:val="20"/>
          <w:szCs w:val="20"/>
        </w:rPr>
        <w:t xml:space="preserve">ent’s performance on </w:t>
      </w:r>
      <w:r w:rsidR="001F76C8" w:rsidRPr="005059C4">
        <w:rPr>
          <w:rFonts w:eastAsia="Calibri"/>
          <w:sz w:val="20"/>
          <w:szCs w:val="20"/>
        </w:rPr>
        <w:t xml:space="preserve">an assessment </w:t>
      </w:r>
      <w:r w:rsidR="00F3347E" w:rsidRPr="005059C4">
        <w:rPr>
          <w:rFonts w:eastAsia="Calibri"/>
          <w:sz w:val="20"/>
          <w:szCs w:val="20"/>
        </w:rPr>
        <w:t xml:space="preserve">with value </w:t>
      </w:r>
      <w:r w:rsidR="00EA7C70" w:rsidRPr="005059C4">
        <w:rPr>
          <w:rFonts w:eastAsia="Calibri"/>
          <w:sz w:val="20"/>
          <w:szCs w:val="20"/>
        </w:rPr>
        <w:t xml:space="preserve">may </w:t>
      </w:r>
      <w:r w:rsidR="00F3347E" w:rsidRPr="005059C4">
        <w:rPr>
          <w:rFonts w:eastAsia="Calibri"/>
          <w:sz w:val="20"/>
          <w:szCs w:val="20"/>
        </w:rPr>
        <w:t xml:space="preserve">have </w:t>
      </w:r>
      <w:r w:rsidR="00EA7C70" w:rsidRPr="005059C4">
        <w:rPr>
          <w:rFonts w:eastAsia="Calibri"/>
          <w:sz w:val="20"/>
          <w:szCs w:val="20"/>
        </w:rPr>
        <w:t>better</w:t>
      </w:r>
      <w:r w:rsidR="00F3347E" w:rsidRPr="005059C4">
        <w:rPr>
          <w:rFonts w:eastAsia="Calibri"/>
          <w:sz w:val="20"/>
          <w:szCs w:val="20"/>
        </w:rPr>
        <w:t xml:space="preserve"> </w:t>
      </w:r>
      <w:r w:rsidR="00A2337E" w:rsidRPr="005059C4">
        <w:rPr>
          <w:rFonts w:eastAsia="Calibri"/>
          <w:sz w:val="20"/>
          <w:szCs w:val="20"/>
        </w:rPr>
        <w:t>result</w:t>
      </w:r>
      <w:r w:rsidR="00EA7C70" w:rsidRPr="005059C4">
        <w:rPr>
          <w:rFonts w:eastAsia="Calibri"/>
          <w:sz w:val="20"/>
          <w:szCs w:val="20"/>
        </w:rPr>
        <w:t>s</w:t>
      </w:r>
      <w:r w:rsidR="00A2337E" w:rsidRPr="005059C4">
        <w:rPr>
          <w:rFonts w:eastAsia="Calibri"/>
          <w:sz w:val="20"/>
          <w:szCs w:val="20"/>
        </w:rPr>
        <w:t xml:space="preserve"> </w:t>
      </w:r>
      <w:r w:rsidR="00F3347E" w:rsidRPr="005059C4">
        <w:rPr>
          <w:rFonts w:eastAsia="Calibri"/>
          <w:sz w:val="20"/>
          <w:szCs w:val="20"/>
        </w:rPr>
        <w:t xml:space="preserve">than </w:t>
      </w:r>
      <w:r w:rsidR="00A2337E" w:rsidRPr="005059C4">
        <w:rPr>
          <w:rFonts w:eastAsia="Calibri"/>
          <w:sz w:val="20"/>
          <w:szCs w:val="20"/>
        </w:rPr>
        <w:t xml:space="preserve">an exam </w:t>
      </w:r>
      <w:r w:rsidR="00EA7C70" w:rsidRPr="005059C4">
        <w:rPr>
          <w:rFonts w:eastAsia="Calibri"/>
          <w:sz w:val="20"/>
          <w:szCs w:val="20"/>
        </w:rPr>
        <w:t>with</w:t>
      </w:r>
      <w:r w:rsidR="00A2337E" w:rsidRPr="005059C4">
        <w:rPr>
          <w:rFonts w:eastAsia="Calibri"/>
          <w:sz w:val="20"/>
          <w:szCs w:val="20"/>
        </w:rPr>
        <w:t xml:space="preserve"> no value. The </w:t>
      </w:r>
      <w:r w:rsidR="00BE368A" w:rsidRPr="005059C4">
        <w:rPr>
          <w:rFonts w:eastAsia="Calibri"/>
          <w:sz w:val="20"/>
          <w:szCs w:val="20"/>
        </w:rPr>
        <w:t xml:space="preserve">ATI RN </w:t>
      </w:r>
      <w:r w:rsidR="00BE368A" w:rsidRPr="005059C4">
        <w:rPr>
          <w:sz w:val="20"/>
          <w:szCs w:val="20"/>
        </w:rPr>
        <w:t xml:space="preserve">Pharmacology examination results may not reflect student’s knowledge of the content because </w:t>
      </w:r>
      <w:r w:rsidR="00932010" w:rsidRPr="005059C4">
        <w:rPr>
          <w:sz w:val="20"/>
          <w:szCs w:val="20"/>
        </w:rPr>
        <w:t xml:space="preserve">there is no value and </w:t>
      </w:r>
      <w:r w:rsidR="00BE368A" w:rsidRPr="005059C4">
        <w:rPr>
          <w:sz w:val="20"/>
          <w:szCs w:val="20"/>
        </w:rPr>
        <w:t>does not count toward program completion</w:t>
      </w:r>
      <w:r w:rsidRPr="005059C4">
        <w:rPr>
          <w:sz w:val="20"/>
          <w:szCs w:val="20"/>
        </w:rPr>
        <w:t xml:space="preserve">. </w:t>
      </w:r>
      <w:r w:rsidR="00BE368A" w:rsidRPr="005059C4">
        <w:rPr>
          <w:sz w:val="20"/>
          <w:szCs w:val="20"/>
        </w:rPr>
        <w:t xml:space="preserve">Recommendations </w:t>
      </w:r>
      <w:r w:rsidR="002D2703" w:rsidRPr="005059C4">
        <w:rPr>
          <w:sz w:val="20"/>
          <w:szCs w:val="20"/>
        </w:rPr>
        <w:t>are</w:t>
      </w:r>
      <w:r w:rsidRPr="005059C4">
        <w:rPr>
          <w:sz w:val="20"/>
          <w:szCs w:val="20"/>
        </w:rPr>
        <w:t xml:space="preserve"> for the </w:t>
      </w:r>
      <w:r w:rsidR="00BE368A" w:rsidRPr="005059C4">
        <w:rPr>
          <w:sz w:val="20"/>
          <w:szCs w:val="20"/>
        </w:rPr>
        <w:t xml:space="preserve">70-item ATI RN pharmacology exam </w:t>
      </w:r>
      <w:r w:rsidRPr="005059C4">
        <w:rPr>
          <w:sz w:val="20"/>
          <w:szCs w:val="20"/>
        </w:rPr>
        <w:t xml:space="preserve">have </w:t>
      </w:r>
      <w:r w:rsidR="00BE368A" w:rsidRPr="005059C4">
        <w:rPr>
          <w:sz w:val="20"/>
          <w:szCs w:val="20"/>
        </w:rPr>
        <w:t xml:space="preserve">a graded item </w:t>
      </w:r>
      <w:r w:rsidRPr="005059C4">
        <w:rPr>
          <w:sz w:val="20"/>
          <w:szCs w:val="20"/>
        </w:rPr>
        <w:t xml:space="preserve">value </w:t>
      </w:r>
      <w:r w:rsidR="00BE368A" w:rsidRPr="005059C4">
        <w:rPr>
          <w:sz w:val="20"/>
          <w:szCs w:val="20"/>
        </w:rPr>
        <w:t xml:space="preserve">or omit it as an additional assessment. </w:t>
      </w:r>
      <w:r w:rsidR="7423CF40" w:rsidRPr="005059C4">
        <w:rPr>
          <w:sz w:val="20"/>
          <w:szCs w:val="20"/>
        </w:rPr>
        <w:t>Future studies should review how non progression/weighted exam may impact accurate results on summative assessments in nursing associate degree programs.</w:t>
      </w:r>
    </w:p>
    <w:p w14:paraId="19E524C8" w14:textId="77777777" w:rsidR="00066A81" w:rsidRPr="005059C4" w:rsidRDefault="00066A81" w:rsidP="00DF14EA">
      <w:pPr>
        <w:contextualSpacing/>
        <w:mirrorIndents/>
        <w:jc w:val="both"/>
        <w:rPr>
          <w:rStyle w:val="normaltextrun"/>
          <w:sz w:val="20"/>
          <w:szCs w:val="20"/>
        </w:rPr>
      </w:pPr>
    </w:p>
    <w:p w14:paraId="6552894D" w14:textId="06C0D86A" w:rsidR="00BE368A" w:rsidRPr="00AB299D" w:rsidRDefault="00BE368A" w:rsidP="00DF14EA">
      <w:pPr>
        <w:contextualSpacing/>
        <w:mirrorIndents/>
        <w:jc w:val="both"/>
        <w:rPr>
          <w:rStyle w:val="normaltextrun"/>
          <w:rFonts w:eastAsiaTheme="majorEastAsia"/>
          <w:b/>
          <w:bCs/>
          <w:sz w:val="22"/>
          <w:szCs w:val="22"/>
        </w:rPr>
      </w:pPr>
      <w:r w:rsidRPr="00AB299D">
        <w:rPr>
          <w:rStyle w:val="normaltextrun"/>
          <w:rFonts w:eastAsiaTheme="majorEastAsia"/>
          <w:b/>
          <w:bCs/>
          <w:sz w:val="22"/>
          <w:szCs w:val="22"/>
        </w:rPr>
        <w:t>Reference</w:t>
      </w:r>
    </w:p>
    <w:p w14:paraId="2F3B0020" w14:textId="293E7593" w:rsidR="00066A81" w:rsidRPr="009F61FD" w:rsidRDefault="00066A81" w:rsidP="009F61FD">
      <w:pPr>
        <w:contextualSpacing/>
        <w:mirrorIndents/>
        <w:jc w:val="both"/>
        <w:rPr>
          <w:bCs/>
          <w:sz w:val="20"/>
          <w:szCs w:val="20"/>
        </w:rPr>
      </w:pPr>
    </w:p>
    <w:p w14:paraId="6BF00F64" w14:textId="77777777" w:rsidR="005C0718" w:rsidRPr="009F61FD" w:rsidRDefault="005E76D1" w:rsidP="009F61FD">
      <w:pPr>
        <w:pStyle w:val="ListParagraph"/>
        <w:numPr>
          <w:ilvl w:val="0"/>
          <w:numId w:val="10"/>
        </w:numPr>
        <w:spacing w:after="0" w:line="240" w:lineRule="auto"/>
        <w:mirrorIndents/>
        <w:jc w:val="both"/>
        <w:rPr>
          <w:rFonts w:ascii="Times New Roman" w:hAnsi="Times New Roman" w:cs="Times New Roman"/>
          <w:sz w:val="20"/>
          <w:szCs w:val="20"/>
        </w:rPr>
      </w:pPr>
      <w:hyperlink r:id="rId8" w:history="1">
        <w:proofErr w:type="spellStart"/>
        <w:r w:rsidR="005C0718" w:rsidRPr="009F61FD">
          <w:rPr>
            <w:rStyle w:val="Hyperlink"/>
            <w:rFonts w:ascii="Times New Roman" w:hAnsi="Times New Roman" w:cs="Times New Roman"/>
            <w:sz w:val="20"/>
            <w:szCs w:val="20"/>
            <w:u w:val="none"/>
          </w:rPr>
          <w:t>Wixson</w:t>
        </w:r>
        <w:proofErr w:type="spellEnd"/>
        <w:r w:rsidR="005C0718" w:rsidRPr="009F61FD">
          <w:rPr>
            <w:rStyle w:val="Hyperlink"/>
            <w:rFonts w:ascii="Times New Roman" w:hAnsi="Times New Roman" w:cs="Times New Roman"/>
            <w:sz w:val="20"/>
            <w:szCs w:val="20"/>
            <w:u w:val="none"/>
          </w:rPr>
          <w:t xml:space="preserve"> K (2017) An Interactive View of Reading Comprehension Implications for Assessment. Language, Speech, and Hearing Services in Schools 48: 77- 83.</w:t>
        </w:r>
      </w:hyperlink>
    </w:p>
    <w:p w14:paraId="7FA198BE" w14:textId="77777777" w:rsidR="00F8646E" w:rsidRPr="009F61FD" w:rsidRDefault="005E76D1" w:rsidP="009F61FD">
      <w:pPr>
        <w:pStyle w:val="ListParagraph"/>
        <w:numPr>
          <w:ilvl w:val="0"/>
          <w:numId w:val="10"/>
        </w:numPr>
        <w:spacing w:after="0" w:line="240" w:lineRule="auto"/>
        <w:mirrorIndents/>
        <w:jc w:val="both"/>
        <w:rPr>
          <w:rFonts w:ascii="Times New Roman" w:eastAsiaTheme="majorEastAsia" w:hAnsi="Times New Roman" w:cs="Times New Roman"/>
          <w:bCs/>
          <w:color w:val="000000" w:themeColor="text1"/>
          <w:sz w:val="20"/>
          <w:szCs w:val="20"/>
        </w:rPr>
      </w:pPr>
      <w:hyperlink r:id="rId9" w:history="1">
        <w:r w:rsidR="007426D9" w:rsidRPr="009F61FD">
          <w:rPr>
            <w:rStyle w:val="Hyperlink"/>
            <w:rFonts w:ascii="Times New Roman" w:hAnsi="Times New Roman" w:cs="Times New Roman"/>
            <w:sz w:val="20"/>
            <w:szCs w:val="20"/>
            <w:u w:val="none"/>
          </w:rPr>
          <w:t>National Council of State Board of Nursing (2016) NCLEX-RN Test Plan.</w:t>
        </w:r>
      </w:hyperlink>
      <w:bookmarkStart w:id="3" w:name="_Hlk536691860"/>
    </w:p>
    <w:p w14:paraId="712933BB" w14:textId="77777777" w:rsidR="00AE73EB" w:rsidRPr="009F61FD" w:rsidRDefault="005E76D1" w:rsidP="009F61FD">
      <w:pPr>
        <w:pStyle w:val="ListParagraph"/>
        <w:numPr>
          <w:ilvl w:val="0"/>
          <w:numId w:val="10"/>
        </w:numPr>
        <w:spacing w:after="0" w:line="240" w:lineRule="auto"/>
        <w:mirrorIndents/>
        <w:jc w:val="both"/>
        <w:rPr>
          <w:rStyle w:val="normaltextrun"/>
          <w:rFonts w:ascii="Times New Roman" w:eastAsiaTheme="majorEastAsia" w:hAnsi="Times New Roman" w:cs="Times New Roman"/>
          <w:sz w:val="20"/>
          <w:szCs w:val="20"/>
        </w:rPr>
      </w:pPr>
      <w:hyperlink r:id="rId10" w:history="1">
        <w:proofErr w:type="spellStart"/>
        <w:r w:rsidR="00BE368A" w:rsidRPr="009F61FD">
          <w:rPr>
            <w:rStyle w:val="Hyperlink"/>
            <w:rFonts w:ascii="Times New Roman" w:eastAsiaTheme="majorEastAsia" w:hAnsi="Times New Roman" w:cs="Times New Roman"/>
            <w:sz w:val="20"/>
            <w:szCs w:val="20"/>
            <w:u w:val="none"/>
          </w:rPr>
          <w:t>Breytenbach</w:t>
        </w:r>
        <w:proofErr w:type="spellEnd"/>
        <w:r w:rsidR="00716FBC" w:rsidRPr="009F61FD">
          <w:rPr>
            <w:rStyle w:val="Hyperlink"/>
            <w:rFonts w:ascii="Times New Roman" w:eastAsiaTheme="majorEastAsia" w:hAnsi="Times New Roman" w:cs="Times New Roman"/>
            <w:sz w:val="20"/>
            <w:szCs w:val="20"/>
            <w:u w:val="none"/>
          </w:rPr>
          <w:t xml:space="preserve"> C</w:t>
        </w:r>
        <w:r w:rsidR="00BE368A" w:rsidRPr="009F61FD">
          <w:rPr>
            <w:rStyle w:val="Hyperlink"/>
            <w:rFonts w:ascii="Times New Roman" w:eastAsiaTheme="majorEastAsia" w:hAnsi="Times New Roman" w:cs="Times New Roman"/>
            <w:sz w:val="20"/>
            <w:szCs w:val="20"/>
            <w:u w:val="none"/>
          </w:rPr>
          <w:t>, ten Ham-</w:t>
        </w:r>
        <w:proofErr w:type="spellStart"/>
        <w:r w:rsidR="00BE368A" w:rsidRPr="009F61FD">
          <w:rPr>
            <w:rStyle w:val="Hyperlink"/>
            <w:rFonts w:ascii="Times New Roman" w:eastAsiaTheme="majorEastAsia" w:hAnsi="Times New Roman" w:cs="Times New Roman"/>
            <w:sz w:val="20"/>
            <w:szCs w:val="20"/>
            <w:u w:val="none"/>
          </w:rPr>
          <w:t>Baloyi</w:t>
        </w:r>
        <w:proofErr w:type="spellEnd"/>
        <w:r w:rsidR="00BE368A" w:rsidRPr="009F61FD">
          <w:rPr>
            <w:rStyle w:val="Hyperlink"/>
            <w:rFonts w:ascii="Times New Roman" w:eastAsiaTheme="majorEastAsia" w:hAnsi="Times New Roman" w:cs="Times New Roman"/>
            <w:sz w:val="20"/>
            <w:szCs w:val="20"/>
            <w:u w:val="none"/>
          </w:rPr>
          <w:t xml:space="preserve"> W</w:t>
        </w:r>
        <w:r w:rsidR="00716FBC" w:rsidRPr="009F61FD">
          <w:rPr>
            <w:rStyle w:val="Hyperlink"/>
            <w:rFonts w:ascii="Times New Roman" w:eastAsiaTheme="majorEastAsia" w:hAnsi="Times New Roman" w:cs="Times New Roman"/>
            <w:sz w:val="20"/>
            <w:szCs w:val="20"/>
            <w:u w:val="none"/>
          </w:rPr>
          <w:t>, Jordan</w:t>
        </w:r>
        <w:r w:rsidR="00BE368A" w:rsidRPr="009F61FD">
          <w:rPr>
            <w:rStyle w:val="Hyperlink"/>
            <w:rFonts w:ascii="Times New Roman" w:eastAsiaTheme="majorEastAsia" w:hAnsi="Times New Roman" w:cs="Times New Roman"/>
            <w:sz w:val="20"/>
            <w:szCs w:val="20"/>
            <w:u w:val="none"/>
          </w:rPr>
          <w:t xml:space="preserve"> P (2017)</w:t>
        </w:r>
        <w:r w:rsidR="00DD2360" w:rsidRPr="009F61FD">
          <w:rPr>
            <w:rStyle w:val="Hyperlink"/>
            <w:rFonts w:ascii="Times New Roman" w:eastAsiaTheme="majorEastAsia" w:hAnsi="Times New Roman" w:cs="Times New Roman"/>
            <w:sz w:val="20"/>
            <w:szCs w:val="20"/>
            <w:u w:val="none"/>
          </w:rPr>
          <w:t xml:space="preserve"> An Integrative Literature</w:t>
        </w:r>
        <w:r w:rsidR="00E9291B" w:rsidRPr="009F61FD">
          <w:rPr>
            <w:rStyle w:val="Hyperlink"/>
            <w:rFonts w:ascii="Times New Roman" w:eastAsiaTheme="majorEastAsia" w:hAnsi="Times New Roman" w:cs="Times New Roman"/>
            <w:sz w:val="20"/>
            <w:szCs w:val="20"/>
            <w:u w:val="none"/>
          </w:rPr>
          <w:t xml:space="preserve"> </w:t>
        </w:r>
        <w:r w:rsidR="00BE368A" w:rsidRPr="009F61FD">
          <w:rPr>
            <w:rStyle w:val="Hyperlink"/>
            <w:rFonts w:ascii="Times New Roman" w:eastAsiaTheme="majorEastAsia" w:hAnsi="Times New Roman" w:cs="Times New Roman"/>
            <w:sz w:val="20"/>
            <w:szCs w:val="20"/>
            <w:u w:val="none"/>
          </w:rPr>
          <w:t xml:space="preserve">Review of Evidence-Based Teaching Strategies for Nurse Educators. </w:t>
        </w:r>
        <w:r w:rsidR="00BE368A" w:rsidRPr="009F61FD">
          <w:rPr>
            <w:rStyle w:val="Hyperlink"/>
            <w:rFonts w:ascii="Times New Roman" w:eastAsiaTheme="majorEastAsia" w:hAnsi="Times New Roman" w:cs="Times New Roman"/>
            <w:bCs/>
            <w:sz w:val="20"/>
            <w:szCs w:val="20"/>
            <w:u w:val="none"/>
          </w:rPr>
          <w:t>Nursing Education</w:t>
        </w:r>
        <w:r w:rsidR="00E9291B" w:rsidRPr="009F61FD">
          <w:rPr>
            <w:rStyle w:val="Hyperlink"/>
            <w:rFonts w:ascii="Times New Roman" w:eastAsiaTheme="majorEastAsia" w:hAnsi="Times New Roman" w:cs="Times New Roman"/>
            <w:bCs/>
            <w:sz w:val="20"/>
            <w:szCs w:val="20"/>
            <w:u w:val="none"/>
          </w:rPr>
          <w:t xml:space="preserve"> </w:t>
        </w:r>
        <w:r w:rsidR="00BE368A" w:rsidRPr="009F61FD">
          <w:rPr>
            <w:rStyle w:val="Hyperlink"/>
            <w:rFonts w:ascii="Times New Roman" w:eastAsiaTheme="majorEastAsia" w:hAnsi="Times New Roman" w:cs="Times New Roman"/>
            <w:bCs/>
            <w:sz w:val="20"/>
            <w:szCs w:val="20"/>
            <w:u w:val="none"/>
          </w:rPr>
          <w:t xml:space="preserve">Perspectives </w:t>
        </w:r>
        <w:r w:rsidR="00AC1CD0" w:rsidRPr="009F61FD">
          <w:rPr>
            <w:rStyle w:val="Hyperlink"/>
            <w:rFonts w:ascii="Times New Roman" w:eastAsiaTheme="majorEastAsia" w:hAnsi="Times New Roman" w:cs="Times New Roman"/>
            <w:sz w:val="20"/>
            <w:szCs w:val="20"/>
            <w:u w:val="none"/>
          </w:rPr>
          <w:t>38: 193-197.</w:t>
        </w:r>
      </w:hyperlink>
      <w:bookmarkEnd w:id="3"/>
    </w:p>
    <w:p w14:paraId="29DD8EA2" w14:textId="7A0BE410" w:rsidR="00BE368A" w:rsidRPr="009F61FD" w:rsidRDefault="005E76D1" w:rsidP="009F61FD">
      <w:pPr>
        <w:pStyle w:val="ListParagraph"/>
        <w:numPr>
          <w:ilvl w:val="0"/>
          <w:numId w:val="10"/>
        </w:numPr>
        <w:spacing w:after="0" w:line="240" w:lineRule="auto"/>
        <w:mirrorIndents/>
        <w:jc w:val="both"/>
        <w:rPr>
          <w:rStyle w:val="normaltextrun"/>
          <w:rFonts w:ascii="Times New Roman" w:eastAsiaTheme="majorEastAsia" w:hAnsi="Times New Roman" w:cs="Times New Roman"/>
          <w:sz w:val="20"/>
          <w:szCs w:val="20"/>
        </w:rPr>
      </w:pPr>
      <w:hyperlink r:id="rId11" w:history="1">
        <w:proofErr w:type="spellStart"/>
        <w:r w:rsidR="00BE368A" w:rsidRPr="009F61FD">
          <w:rPr>
            <w:rStyle w:val="Hyperlink"/>
            <w:rFonts w:ascii="Times New Roman" w:eastAsiaTheme="majorEastAsia" w:hAnsi="Times New Roman" w:cs="Times New Roman"/>
            <w:sz w:val="20"/>
            <w:szCs w:val="20"/>
            <w:u w:val="none"/>
          </w:rPr>
          <w:t>Caputi</w:t>
        </w:r>
        <w:proofErr w:type="spellEnd"/>
        <w:r w:rsidR="00FF10CF" w:rsidRPr="009F61FD">
          <w:rPr>
            <w:rStyle w:val="Hyperlink"/>
            <w:rFonts w:ascii="Times New Roman" w:eastAsiaTheme="majorEastAsia" w:hAnsi="Times New Roman" w:cs="Times New Roman"/>
            <w:sz w:val="20"/>
            <w:szCs w:val="20"/>
            <w:u w:val="none"/>
          </w:rPr>
          <w:t xml:space="preserve"> L (2015) </w:t>
        </w:r>
        <w:r w:rsidR="00BE368A" w:rsidRPr="009F61FD">
          <w:rPr>
            <w:rStyle w:val="Hyperlink"/>
            <w:rFonts w:ascii="Times New Roman" w:eastAsiaTheme="majorEastAsia" w:hAnsi="Times New Roman" w:cs="Times New Roman"/>
            <w:sz w:val="20"/>
            <w:szCs w:val="20"/>
            <w:u w:val="none"/>
          </w:rPr>
          <w:t>Certified Nurse Educator Review Book: The Official NLN Guide to the CNE</w:t>
        </w:r>
        <w:r w:rsidR="00E9291B" w:rsidRPr="009F61FD">
          <w:rPr>
            <w:rStyle w:val="Hyperlink"/>
            <w:rFonts w:ascii="Times New Roman" w:eastAsiaTheme="majorEastAsia" w:hAnsi="Times New Roman" w:cs="Times New Roman"/>
            <w:sz w:val="20"/>
            <w:szCs w:val="20"/>
            <w:u w:val="none"/>
          </w:rPr>
          <w:t xml:space="preserve"> </w:t>
        </w:r>
        <w:r w:rsidR="00BE368A" w:rsidRPr="009F61FD">
          <w:rPr>
            <w:rStyle w:val="Hyperlink"/>
            <w:rFonts w:ascii="Times New Roman" w:eastAsiaTheme="majorEastAsia" w:hAnsi="Times New Roman" w:cs="Times New Roman"/>
            <w:sz w:val="20"/>
            <w:szCs w:val="20"/>
            <w:u w:val="none"/>
          </w:rPr>
          <w:t>Exam.</w:t>
        </w:r>
        <w:r w:rsidR="00E9291B" w:rsidRPr="009F61FD">
          <w:rPr>
            <w:rStyle w:val="Hyperlink"/>
            <w:rFonts w:ascii="Times New Roman" w:eastAsiaTheme="majorEastAsia" w:hAnsi="Times New Roman" w:cs="Times New Roman"/>
            <w:sz w:val="20"/>
            <w:szCs w:val="20"/>
            <w:u w:val="none"/>
          </w:rPr>
          <w:t xml:space="preserve"> </w:t>
        </w:r>
        <w:r w:rsidR="00BE368A" w:rsidRPr="009F61FD">
          <w:rPr>
            <w:rStyle w:val="Hyperlink"/>
            <w:rFonts w:ascii="Times New Roman" w:eastAsiaTheme="majorEastAsia" w:hAnsi="Times New Roman" w:cs="Times New Roman"/>
            <w:sz w:val="20"/>
            <w:szCs w:val="20"/>
            <w:u w:val="none"/>
          </w:rPr>
          <w:t xml:space="preserve">Chicago: </w:t>
        </w:r>
        <w:r w:rsidR="003D5748" w:rsidRPr="009F61FD">
          <w:rPr>
            <w:rStyle w:val="Hyperlink"/>
            <w:rFonts w:ascii="Times New Roman" w:hAnsi="Times New Roman" w:cs="Times New Roman"/>
            <w:sz w:val="20"/>
            <w:szCs w:val="20"/>
            <w:u w:val="none"/>
          </w:rPr>
          <w:t>Wolters Kluwer.</w:t>
        </w:r>
      </w:hyperlink>
    </w:p>
    <w:p w14:paraId="353930A6" w14:textId="1DBA8776" w:rsidR="003F3A1A" w:rsidRPr="009F61FD" w:rsidRDefault="005E76D1" w:rsidP="009F61FD">
      <w:pPr>
        <w:pStyle w:val="ListParagraph"/>
        <w:numPr>
          <w:ilvl w:val="0"/>
          <w:numId w:val="10"/>
        </w:numPr>
        <w:spacing w:after="0" w:line="240" w:lineRule="auto"/>
        <w:mirrorIndents/>
        <w:jc w:val="both"/>
        <w:rPr>
          <w:rStyle w:val="eop"/>
          <w:rFonts w:ascii="Times New Roman" w:eastAsiaTheme="majorEastAsia" w:hAnsi="Times New Roman" w:cs="Times New Roman"/>
          <w:sz w:val="20"/>
          <w:szCs w:val="20"/>
        </w:rPr>
      </w:pPr>
      <w:hyperlink r:id="rId12" w:history="1">
        <w:r w:rsidR="003F3A1A" w:rsidRPr="009F61FD">
          <w:rPr>
            <w:rStyle w:val="Hyperlink"/>
            <w:rFonts w:ascii="Times New Roman" w:hAnsi="Times New Roman" w:cs="Times New Roman"/>
            <w:sz w:val="20"/>
            <w:szCs w:val="20"/>
            <w:u w:val="none"/>
          </w:rPr>
          <w:t>Kurt L (1951) Lewin’s Change Theory.</w:t>
        </w:r>
      </w:hyperlink>
    </w:p>
    <w:bookmarkStart w:id="4" w:name="_Hlk536692141"/>
    <w:p w14:paraId="3E24D6C3" w14:textId="77777777" w:rsidR="004D2292" w:rsidRPr="009F61FD" w:rsidRDefault="004D2292" w:rsidP="009F61FD">
      <w:pPr>
        <w:pStyle w:val="ListParagraph"/>
        <w:numPr>
          <w:ilvl w:val="0"/>
          <w:numId w:val="10"/>
        </w:numPr>
        <w:spacing w:after="0" w:line="240" w:lineRule="auto"/>
        <w:mirrorIndents/>
        <w:jc w:val="both"/>
        <w:rPr>
          <w:rStyle w:val="normaltextrun"/>
          <w:rFonts w:ascii="Times New Roman" w:eastAsiaTheme="majorEastAsia" w:hAnsi="Times New Roman" w:cs="Times New Roman"/>
          <w:color w:val="000000"/>
          <w:sz w:val="20"/>
          <w:szCs w:val="20"/>
        </w:rPr>
      </w:pPr>
      <w:r w:rsidRPr="009F61FD">
        <w:rPr>
          <w:rStyle w:val="normaltextrun"/>
          <w:rFonts w:ascii="Times New Roman" w:eastAsiaTheme="majorEastAsia" w:hAnsi="Times New Roman" w:cs="Times New Roman"/>
          <w:color w:val="000000"/>
          <w:sz w:val="20"/>
          <w:szCs w:val="20"/>
        </w:rPr>
        <w:fldChar w:fldCharType="begin"/>
      </w:r>
      <w:r w:rsidRPr="009F61FD">
        <w:rPr>
          <w:rStyle w:val="normaltextrun"/>
          <w:rFonts w:ascii="Times New Roman" w:eastAsiaTheme="majorEastAsia" w:hAnsi="Times New Roman" w:cs="Times New Roman"/>
          <w:color w:val="000000"/>
          <w:sz w:val="20"/>
          <w:szCs w:val="20"/>
        </w:rPr>
        <w:instrText xml:space="preserve"> HYPERLINK "https://journals.healio.com/doi/10.3928/00220124-20171115-05" </w:instrText>
      </w:r>
      <w:r w:rsidRPr="009F61FD">
        <w:rPr>
          <w:rStyle w:val="normaltextrun"/>
          <w:rFonts w:ascii="Times New Roman" w:eastAsiaTheme="majorEastAsia" w:hAnsi="Times New Roman" w:cs="Times New Roman"/>
          <w:color w:val="000000"/>
          <w:sz w:val="20"/>
          <w:szCs w:val="20"/>
        </w:rPr>
        <w:fldChar w:fldCharType="separate"/>
      </w:r>
      <w:r w:rsidRPr="009F61FD">
        <w:rPr>
          <w:rStyle w:val="Hyperlink"/>
          <w:rFonts w:ascii="Times New Roman" w:eastAsiaTheme="majorEastAsia" w:hAnsi="Times New Roman" w:cs="Times New Roman"/>
          <w:sz w:val="20"/>
          <w:szCs w:val="20"/>
          <w:u w:val="none"/>
        </w:rPr>
        <w:t>Russell-</w:t>
      </w:r>
      <w:proofErr w:type="spellStart"/>
      <w:r w:rsidRPr="009F61FD">
        <w:rPr>
          <w:rStyle w:val="Hyperlink"/>
          <w:rFonts w:ascii="Times New Roman" w:eastAsiaTheme="majorEastAsia" w:hAnsi="Times New Roman" w:cs="Times New Roman"/>
          <w:sz w:val="20"/>
          <w:szCs w:val="20"/>
          <w:u w:val="none"/>
        </w:rPr>
        <w:t>Babin</w:t>
      </w:r>
      <w:proofErr w:type="spellEnd"/>
      <w:r w:rsidRPr="009F61FD">
        <w:rPr>
          <w:rStyle w:val="Hyperlink"/>
          <w:rFonts w:ascii="Times New Roman" w:eastAsiaTheme="majorEastAsia" w:hAnsi="Times New Roman" w:cs="Times New Roman"/>
          <w:sz w:val="20"/>
          <w:szCs w:val="20"/>
          <w:u w:val="none"/>
        </w:rPr>
        <w:t xml:space="preserve"> KA (2017) Lessons Learned from a Theory of Planned Behavior-Derived Study on Educational Interventions Inspired by the Affective Domain. </w:t>
      </w:r>
      <w:r w:rsidRPr="009F61FD">
        <w:rPr>
          <w:rStyle w:val="Hyperlink"/>
          <w:rFonts w:ascii="Times New Roman" w:eastAsiaTheme="majorEastAsia" w:hAnsi="Times New Roman" w:cs="Times New Roman"/>
          <w:iCs/>
          <w:sz w:val="20"/>
          <w:szCs w:val="20"/>
          <w:u w:val="none"/>
        </w:rPr>
        <w:t xml:space="preserve">J </w:t>
      </w:r>
      <w:proofErr w:type="spellStart"/>
      <w:r w:rsidRPr="009F61FD">
        <w:rPr>
          <w:rStyle w:val="Hyperlink"/>
          <w:rFonts w:ascii="Times New Roman" w:eastAsiaTheme="majorEastAsia" w:hAnsi="Times New Roman" w:cs="Times New Roman"/>
          <w:iCs/>
          <w:sz w:val="20"/>
          <w:szCs w:val="20"/>
          <w:u w:val="none"/>
        </w:rPr>
        <w:t>Contin</w:t>
      </w:r>
      <w:proofErr w:type="spellEnd"/>
      <w:r w:rsidRPr="009F61FD">
        <w:rPr>
          <w:rStyle w:val="Hyperlink"/>
          <w:rFonts w:ascii="Times New Roman" w:eastAsiaTheme="majorEastAsia" w:hAnsi="Times New Roman" w:cs="Times New Roman"/>
          <w:iCs/>
          <w:sz w:val="20"/>
          <w:szCs w:val="20"/>
          <w:u w:val="none"/>
        </w:rPr>
        <w:t xml:space="preserve"> Educ </w:t>
      </w:r>
      <w:proofErr w:type="spellStart"/>
      <w:r w:rsidRPr="009F61FD">
        <w:rPr>
          <w:rStyle w:val="Hyperlink"/>
          <w:rFonts w:ascii="Times New Roman" w:eastAsiaTheme="majorEastAsia" w:hAnsi="Times New Roman" w:cs="Times New Roman"/>
          <w:iCs/>
          <w:sz w:val="20"/>
          <w:szCs w:val="20"/>
          <w:u w:val="none"/>
        </w:rPr>
        <w:t>Nurs</w:t>
      </w:r>
      <w:proofErr w:type="spellEnd"/>
      <w:r w:rsidRPr="009F61FD">
        <w:rPr>
          <w:rStyle w:val="Hyperlink"/>
          <w:rFonts w:ascii="Times New Roman" w:eastAsiaTheme="majorEastAsia" w:hAnsi="Times New Roman" w:cs="Times New Roman"/>
          <w:sz w:val="20"/>
          <w:szCs w:val="20"/>
          <w:u w:val="none"/>
        </w:rPr>
        <w:t xml:space="preserve"> 48: 543-551.</w:t>
      </w:r>
      <w:r w:rsidRPr="009F61FD">
        <w:rPr>
          <w:rStyle w:val="normaltextrun"/>
          <w:rFonts w:ascii="Times New Roman" w:eastAsiaTheme="majorEastAsia" w:hAnsi="Times New Roman" w:cs="Times New Roman"/>
          <w:color w:val="000000"/>
          <w:sz w:val="20"/>
          <w:szCs w:val="20"/>
        </w:rPr>
        <w:fldChar w:fldCharType="end"/>
      </w:r>
      <w:bookmarkEnd w:id="4"/>
    </w:p>
    <w:p w14:paraId="0E83662A" w14:textId="77777777" w:rsidR="009F61FD" w:rsidRPr="009F61FD" w:rsidRDefault="005E76D1" w:rsidP="009F61FD">
      <w:pPr>
        <w:pStyle w:val="ListParagraph"/>
        <w:numPr>
          <w:ilvl w:val="0"/>
          <w:numId w:val="10"/>
        </w:numPr>
        <w:spacing w:after="0" w:line="240" w:lineRule="auto"/>
        <w:mirrorIndents/>
        <w:jc w:val="both"/>
        <w:rPr>
          <w:rStyle w:val="normaltextrun"/>
          <w:rFonts w:ascii="Times New Roman" w:hAnsi="Times New Roman" w:cs="Times New Roman"/>
          <w:color w:val="000000" w:themeColor="text1"/>
          <w:sz w:val="20"/>
          <w:szCs w:val="20"/>
        </w:rPr>
      </w:pPr>
      <w:hyperlink r:id="rId13" w:history="1">
        <w:proofErr w:type="spellStart"/>
        <w:r w:rsidR="0032546C" w:rsidRPr="009F61FD">
          <w:rPr>
            <w:rStyle w:val="Hyperlink"/>
            <w:rFonts w:ascii="Times New Roman" w:eastAsiaTheme="majorEastAsia" w:hAnsi="Times New Roman" w:cs="Times New Roman"/>
            <w:sz w:val="20"/>
            <w:szCs w:val="20"/>
            <w:u w:val="none"/>
          </w:rPr>
          <w:t>Henkle</w:t>
        </w:r>
        <w:proofErr w:type="spellEnd"/>
        <w:r w:rsidR="0032546C" w:rsidRPr="009F61FD">
          <w:rPr>
            <w:rStyle w:val="Hyperlink"/>
            <w:rFonts w:ascii="Times New Roman" w:eastAsiaTheme="majorEastAsia" w:hAnsi="Times New Roman" w:cs="Times New Roman"/>
            <w:sz w:val="20"/>
            <w:szCs w:val="20"/>
            <w:u w:val="none"/>
          </w:rPr>
          <w:t xml:space="preserve"> J, Cheever K (2018) </w:t>
        </w:r>
        <w:r w:rsidR="0032546C" w:rsidRPr="009F61FD">
          <w:rPr>
            <w:rStyle w:val="Hyperlink"/>
            <w:rFonts w:ascii="Times New Roman" w:hAnsi="Times New Roman" w:cs="Times New Roman"/>
            <w:sz w:val="20"/>
            <w:szCs w:val="20"/>
            <w:u w:val="none"/>
          </w:rPr>
          <w:t xml:space="preserve">Brunner &amp; </w:t>
        </w:r>
        <w:proofErr w:type="spellStart"/>
        <w:r w:rsidR="0032546C" w:rsidRPr="009F61FD">
          <w:rPr>
            <w:rStyle w:val="Hyperlink"/>
            <w:rFonts w:ascii="Times New Roman" w:hAnsi="Times New Roman" w:cs="Times New Roman"/>
            <w:sz w:val="20"/>
            <w:szCs w:val="20"/>
            <w:u w:val="none"/>
          </w:rPr>
          <w:t>Suddarth</w:t>
        </w:r>
        <w:proofErr w:type="spellEnd"/>
        <w:r w:rsidR="0032546C" w:rsidRPr="009F61FD">
          <w:rPr>
            <w:rStyle w:val="Hyperlink"/>
            <w:rFonts w:ascii="Times New Roman" w:hAnsi="Times New Roman" w:cs="Times New Roman"/>
            <w:sz w:val="20"/>
            <w:szCs w:val="20"/>
            <w:u w:val="none"/>
          </w:rPr>
          <w:t xml:space="preserve">: </w:t>
        </w:r>
        <w:r w:rsidR="0032546C" w:rsidRPr="009F61FD">
          <w:rPr>
            <w:rStyle w:val="Hyperlink"/>
            <w:rFonts w:ascii="Times New Roman" w:eastAsiaTheme="majorEastAsia" w:hAnsi="Times New Roman" w:cs="Times New Roman"/>
            <w:sz w:val="20"/>
            <w:szCs w:val="20"/>
            <w:u w:val="none"/>
          </w:rPr>
          <w:t>Textbook of Medical-Surgical (14</w:t>
        </w:r>
        <w:r w:rsidR="0032546C" w:rsidRPr="009F61FD">
          <w:rPr>
            <w:rStyle w:val="Hyperlink"/>
            <w:rFonts w:ascii="Times New Roman" w:eastAsiaTheme="majorEastAsia" w:hAnsi="Times New Roman" w:cs="Times New Roman"/>
            <w:color w:val="FF0000"/>
            <w:sz w:val="20"/>
            <w:szCs w:val="20"/>
            <w:u w:val="none"/>
            <w:vertAlign w:val="superscript"/>
          </w:rPr>
          <w:t>th</w:t>
        </w:r>
        <w:r w:rsidR="0032546C" w:rsidRPr="009F61FD">
          <w:rPr>
            <w:rStyle w:val="Hyperlink"/>
            <w:rFonts w:ascii="Times New Roman" w:eastAsiaTheme="majorEastAsia" w:hAnsi="Times New Roman" w:cs="Times New Roman"/>
            <w:sz w:val="20"/>
            <w:szCs w:val="20"/>
            <w:u w:val="none"/>
          </w:rPr>
          <w:t xml:space="preserve"> Edition) Philadelphia: Lippincott, Williams &amp;Wilkins.</w:t>
        </w:r>
      </w:hyperlink>
    </w:p>
    <w:p w14:paraId="75E7EEE3" w14:textId="1B61A8C5" w:rsidR="009F61FD" w:rsidRPr="009F61FD" w:rsidRDefault="00BE368A" w:rsidP="003B0CA4">
      <w:pPr>
        <w:pStyle w:val="ListParagraph"/>
        <w:numPr>
          <w:ilvl w:val="0"/>
          <w:numId w:val="10"/>
        </w:numPr>
        <w:spacing w:after="0" w:line="240" w:lineRule="auto"/>
        <w:mirrorIndents/>
        <w:jc w:val="both"/>
        <w:rPr>
          <w:rStyle w:val="eop"/>
          <w:rFonts w:ascii="Times New Roman" w:hAnsi="Times New Roman" w:cs="Times New Roman"/>
          <w:color w:val="000000" w:themeColor="text1"/>
          <w:sz w:val="20"/>
          <w:szCs w:val="20"/>
        </w:rPr>
      </w:pPr>
      <w:r w:rsidRPr="009F61FD">
        <w:rPr>
          <w:rFonts w:ascii="Times New Roman" w:hAnsi="Times New Roman" w:cs="Times New Roman"/>
          <w:sz w:val="20"/>
          <w:szCs w:val="20"/>
        </w:rPr>
        <w:t>Craven</w:t>
      </w:r>
      <w:r w:rsidR="00DB0BD3" w:rsidRPr="009F61FD">
        <w:rPr>
          <w:rFonts w:ascii="Times New Roman" w:hAnsi="Times New Roman" w:cs="Times New Roman"/>
          <w:sz w:val="20"/>
          <w:szCs w:val="20"/>
        </w:rPr>
        <w:t xml:space="preserve"> R</w:t>
      </w:r>
      <w:r w:rsidRPr="009F61FD">
        <w:rPr>
          <w:rFonts w:ascii="Times New Roman" w:hAnsi="Times New Roman" w:cs="Times New Roman"/>
          <w:sz w:val="20"/>
          <w:szCs w:val="20"/>
        </w:rPr>
        <w:t xml:space="preserve">, </w:t>
      </w:r>
      <w:proofErr w:type="spellStart"/>
      <w:r w:rsidR="00DB0BD3" w:rsidRPr="009F61FD">
        <w:rPr>
          <w:rFonts w:ascii="Times New Roman" w:hAnsi="Times New Roman" w:cs="Times New Roman"/>
          <w:sz w:val="20"/>
          <w:szCs w:val="20"/>
        </w:rPr>
        <w:t>Hirnle</w:t>
      </w:r>
      <w:proofErr w:type="spellEnd"/>
      <w:r w:rsidRPr="009F61FD">
        <w:rPr>
          <w:rFonts w:ascii="Times New Roman" w:hAnsi="Times New Roman" w:cs="Times New Roman"/>
          <w:sz w:val="20"/>
          <w:szCs w:val="20"/>
        </w:rPr>
        <w:t xml:space="preserve"> C (2017) </w:t>
      </w:r>
      <w:r w:rsidRPr="009F61FD">
        <w:rPr>
          <w:rFonts w:ascii="Times New Roman" w:hAnsi="Times New Roman" w:cs="Times New Roman"/>
          <w:iCs/>
          <w:sz w:val="20"/>
          <w:szCs w:val="20"/>
        </w:rPr>
        <w:t xml:space="preserve">Course Point: Fundamentals of Nursing </w:t>
      </w:r>
      <w:r w:rsidRPr="009F61FD">
        <w:rPr>
          <w:rFonts w:ascii="Times New Roman" w:hAnsi="Times New Roman" w:cs="Times New Roman"/>
          <w:sz w:val="20"/>
          <w:szCs w:val="20"/>
        </w:rPr>
        <w:t>(</w:t>
      </w:r>
      <w:r w:rsidR="00DB0BD3" w:rsidRPr="009F61FD">
        <w:rPr>
          <w:rFonts w:ascii="Times New Roman" w:hAnsi="Times New Roman" w:cs="Times New Roman"/>
          <w:sz w:val="20"/>
          <w:szCs w:val="20"/>
        </w:rPr>
        <w:t>8</w:t>
      </w:r>
      <w:r w:rsidR="00DB0BD3" w:rsidRPr="00AB299D">
        <w:rPr>
          <w:rFonts w:ascii="Times New Roman" w:hAnsi="Times New Roman" w:cs="Times New Roman"/>
          <w:color w:val="FF0000"/>
          <w:sz w:val="20"/>
          <w:szCs w:val="20"/>
          <w:vertAlign w:val="superscript"/>
        </w:rPr>
        <w:t>th</w:t>
      </w:r>
      <w:r w:rsidR="00DB0BD3" w:rsidRPr="009F61FD">
        <w:rPr>
          <w:rFonts w:ascii="Times New Roman" w:hAnsi="Times New Roman" w:cs="Times New Roman"/>
          <w:sz w:val="20"/>
          <w:szCs w:val="20"/>
        </w:rPr>
        <w:t xml:space="preserve"> Edition</w:t>
      </w:r>
      <w:r w:rsidRPr="009F61FD">
        <w:rPr>
          <w:rFonts w:ascii="Times New Roman" w:hAnsi="Times New Roman" w:cs="Times New Roman"/>
          <w:sz w:val="20"/>
          <w:szCs w:val="20"/>
        </w:rPr>
        <w:t>).</w:t>
      </w:r>
      <w:r w:rsidRPr="009F61FD">
        <w:rPr>
          <w:rFonts w:ascii="Times New Roman" w:hAnsi="Times New Roman" w:cs="Times New Roman"/>
          <w:iCs/>
          <w:sz w:val="20"/>
          <w:szCs w:val="20"/>
        </w:rPr>
        <w:t xml:space="preserve"> </w:t>
      </w:r>
      <w:r w:rsidRPr="009F61FD">
        <w:rPr>
          <w:rFonts w:ascii="Times New Roman" w:hAnsi="Times New Roman" w:cs="Times New Roman"/>
          <w:sz w:val="20"/>
          <w:szCs w:val="20"/>
        </w:rPr>
        <w:t>Chicago:</w:t>
      </w:r>
      <w:r w:rsidR="00B006DA" w:rsidRPr="009F61FD">
        <w:rPr>
          <w:rFonts w:ascii="Times New Roman" w:hAnsi="Times New Roman" w:cs="Times New Roman"/>
          <w:sz w:val="20"/>
          <w:szCs w:val="20"/>
        </w:rPr>
        <w:t xml:space="preserve"> </w:t>
      </w:r>
      <w:r w:rsidR="00B80D9A" w:rsidRPr="009F61FD">
        <w:rPr>
          <w:rFonts w:ascii="Times New Roman" w:hAnsi="Times New Roman" w:cs="Times New Roman"/>
          <w:sz w:val="20"/>
          <w:szCs w:val="20"/>
        </w:rPr>
        <w:t>Wolters Kluwer.</w:t>
      </w:r>
    </w:p>
    <w:sectPr w:rsidR="009F61FD" w:rsidRPr="009F61FD" w:rsidSect="000C2AD0">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0EFF1" w14:textId="77777777" w:rsidR="005E76D1" w:rsidRDefault="005E76D1" w:rsidP="00E5175D">
      <w:r>
        <w:separator/>
      </w:r>
    </w:p>
  </w:endnote>
  <w:endnote w:type="continuationSeparator" w:id="0">
    <w:p w14:paraId="19F5B17F" w14:textId="77777777" w:rsidR="005E76D1" w:rsidRDefault="005E76D1" w:rsidP="00E5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altName w:val="Arial Unicode MS"/>
    <w:charset w:val="81"/>
    <w:family w:val="roman"/>
    <w:pitch w:val="variable"/>
    <w:sig w:usb0="00000000" w:usb1="19DFFFFF" w:usb2="001BFDD7" w:usb3="00000000" w:csb0="001F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4981" w14:textId="77777777" w:rsidR="00265C8D" w:rsidRDefault="00265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00D25" w14:textId="77777777" w:rsidR="00265C8D" w:rsidRDefault="00265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117" w14:textId="77777777" w:rsidR="00265C8D" w:rsidRDefault="00265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0F32" w14:textId="77777777" w:rsidR="005E76D1" w:rsidRDefault="005E76D1" w:rsidP="00E5175D">
      <w:r>
        <w:separator/>
      </w:r>
    </w:p>
  </w:footnote>
  <w:footnote w:type="continuationSeparator" w:id="0">
    <w:p w14:paraId="18B70701" w14:textId="77777777" w:rsidR="005E76D1" w:rsidRDefault="005E76D1" w:rsidP="00E51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03A3D" w14:textId="77777777" w:rsidR="00265C8D" w:rsidRDefault="00265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39FD0" w14:textId="77777777" w:rsidR="00215F3B" w:rsidRPr="002F01B7" w:rsidRDefault="00215F3B" w:rsidP="00215F3B">
    <w:pPr>
      <w:tabs>
        <w:tab w:val="left" w:pos="7426"/>
      </w:tabs>
      <w:contextualSpacing/>
      <w:mirrorIndents/>
      <w:jc w:val="both"/>
      <w:rPr>
        <w:sz w:val="20"/>
        <w:szCs w:val="20"/>
      </w:rPr>
    </w:pPr>
    <w:r w:rsidRPr="002F01B7">
      <w:rPr>
        <w:noProof/>
        <w:sz w:val="20"/>
        <w:szCs w:val="20"/>
      </w:rPr>
      <w:drawing>
        <wp:anchor distT="0" distB="0" distL="114300" distR="114300" simplePos="0" relativeHeight="251659264" behindDoc="0" locked="0" layoutInCell="1" allowOverlap="1" wp14:anchorId="752FFCF5" wp14:editId="4D082F80">
          <wp:simplePos x="0" y="0"/>
          <wp:positionH relativeFrom="column">
            <wp:posOffset>67945</wp:posOffset>
          </wp:positionH>
          <wp:positionV relativeFrom="paragraph">
            <wp:posOffset>0</wp:posOffset>
          </wp:positionV>
          <wp:extent cx="982345" cy="797560"/>
          <wp:effectExtent l="0" t="0" r="8255"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14:paraId="6056D909" w14:textId="77777777" w:rsidR="00215F3B" w:rsidRPr="002F01B7" w:rsidRDefault="00215F3B" w:rsidP="00215F3B">
    <w:pPr>
      <w:tabs>
        <w:tab w:val="left" w:pos="7426"/>
      </w:tabs>
      <w:contextualSpacing/>
      <w:mirrorIndents/>
      <w:jc w:val="both"/>
      <w:rPr>
        <w:sz w:val="22"/>
        <w:szCs w:val="22"/>
      </w:rPr>
    </w:pPr>
    <w:r w:rsidRPr="002F01B7">
      <w:rPr>
        <w:sz w:val="22"/>
        <w:szCs w:val="22"/>
      </w:rPr>
      <w:t>Columbus Publishers</w:t>
    </w:r>
  </w:p>
  <w:p w14:paraId="7ED10C73" w14:textId="77777777" w:rsidR="00215F3B" w:rsidRPr="002F01B7" w:rsidRDefault="00215F3B" w:rsidP="00215F3B">
    <w:pPr>
      <w:tabs>
        <w:tab w:val="left" w:pos="7426"/>
      </w:tabs>
      <w:contextualSpacing/>
      <w:mirrorIndents/>
      <w:jc w:val="both"/>
      <w:rPr>
        <w:sz w:val="22"/>
        <w:szCs w:val="22"/>
      </w:rPr>
    </w:pPr>
    <w:r w:rsidRPr="002F01B7">
      <w:rPr>
        <w:sz w:val="22"/>
        <w:szCs w:val="22"/>
      </w:rPr>
      <w:t>International Journal of Nursing and Health Care Science</w:t>
    </w:r>
  </w:p>
  <w:p w14:paraId="34D7A458" w14:textId="5BD86799" w:rsidR="00215F3B" w:rsidRPr="002F01B7" w:rsidRDefault="00215F3B" w:rsidP="00215F3B">
    <w:pPr>
      <w:contextualSpacing/>
      <w:mirrorIndents/>
      <w:jc w:val="both"/>
      <w:rPr>
        <w:sz w:val="22"/>
        <w:szCs w:val="22"/>
      </w:rPr>
    </w:pPr>
    <w:r w:rsidRPr="002F01B7">
      <w:rPr>
        <w:sz w:val="22"/>
        <w:szCs w:val="22"/>
      </w:rPr>
      <w:t>Volume 01: Issue 1</w:t>
    </w:r>
    <w:r w:rsidR="002F01B7" w:rsidRPr="002F01B7">
      <w:rPr>
        <w:sz w:val="22"/>
        <w:szCs w:val="22"/>
      </w:rPr>
      <w:t>2</w:t>
    </w:r>
  </w:p>
  <w:p w14:paraId="01545CAE" w14:textId="311219C1" w:rsidR="00215F3B" w:rsidRPr="002F01B7" w:rsidRDefault="00265C8D" w:rsidP="00215F3B">
    <w:pPr>
      <w:contextualSpacing/>
      <w:mirrorIndents/>
      <w:jc w:val="both"/>
      <w:rPr>
        <w:sz w:val="20"/>
        <w:szCs w:val="20"/>
      </w:rPr>
    </w:pPr>
    <w:r w:rsidRPr="00265C8D">
      <w:rPr>
        <w:sz w:val="22"/>
        <w:szCs w:val="22"/>
      </w:rPr>
      <w:t>Harper-Morri</w:t>
    </w:r>
    <w:bookmarkStart w:id="5" w:name="_GoBack"/>
    <w:bookmarkEnd w:id="5"/>
    <w:r w:rsidRPr="00265C8D">
      <w:rPr>
        <w:sz w:val="22"/>
        <w:szCs w:val="22"/>
      </w:rPr>
      <w:t>s Y and Dade A</w:t>
    </w:r>
    <w:r w:rsidR="002F01B7" w:rsidRPr="002F01B7">
      <w:rPr>
        <w:sz w:val="22"/>
        <w:szCs w:val="22"/>
      </w:rPr>
      <w:t>.</w:t>
    </w:r>
    <w:r w:rsidR="002F01B7" w:rsidRPr="002F01B7">
      <w:rPr>
        <w:sz w:val="20"/>
        <w:szCs w:val="20"/>
      </w:rPr>
      <w:t xml:space="preserve"> </w:t>
    </w:r>
  </w:p>
  <w:p w14:paraId="6661EE78" w14:textId="77777777" w:rsidR="002F01B7" w:rsidRPr="002F01B7" w:rsidRDefault="002F01B7" w:rsidP="00215F3B">
    <w:pPr>
      <w:contextualSpacing/>
      <w:mirrorIndents/>
      <w:jc w:val="both"/>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D45D3" w14:textId="77777777" w:rsidR="00265C8D" w:rsidRDefault="00265C8D">
    <w:pPr>
      <w:pStyle w:val="Header"/>
    </w:pPr>
  </w:p>
</w:hdr>
</file>

<file path=word/intelligence.xml><?xml version="1.0" encoding="utf-8"?>
<int:Intelligence xmlns:int="http://schemas.microsoft.com/office/intelligence/2019/intelligence">
  <int:IntelligenceSettings/>
  <int:Manifest>
    <int:ParagraphRange paragraphId="1648102903" textId="2004318071" start="58" length="8" invalidationStart="58" invalidationLength="8" id="AaVsZxEq"/>
    <int:ParagraphRange paragraphId="1418111028" textId="2004318071" start="169" length="10" invalidationStart="169" invalidationLength="10" id="SYaeftin"/>
    <int:WordHash hashCode="SOVj8UjcBNizHJ" id="2LgJj3sI"/>
    <int:WordHash hashCode="qWmAGjjESz/u1N" id="jgn8S0W3"/>
    <int:WordHash hashCode="x+hXKoAelSrU3t" id="ZbkMhWss"/>
  </int:Manifest>
  <int:Observations>
    <int:Content id="AaVsZxEq">
      <int:Rejection type="LegacyProofing"/>
    </int:Content>
    <int:Content id="SYaeftin">
      <int:Rejection type="LegacyProofing"/>
    </int:Content>
    <int:Content id="2LgJj3sI">
      <int:Rejection type="LegacyProofing"/>
    </int:Content>
    <int:Content id="jgn8S0W3">
      <int:Rejection type="LegacyProofing"/>
    </int:Content>
    <int:Content id="ZbkMhWs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2160" w:hanging="360"/>
      </w:pPr>
      <w:rPr>
        <w:rFonts w:ascii="Calibri" w:hAnsi="Calibri" w:cs="Calibri"/>
        <w:b w:val="0"/>
        <w:bCs w:val="0"/>
        <w:sz w:val="22"/>
        <w:szCs w:val="22"/>
      </w:rPr>
    </w:lvl>
    <w:lvl w:ilvl="1">
      <w:start w:val="2"/>
      <w:numFmt w:val="lowerLetter"/>
      <w:lvlText w:val="%2."/>
      <w:lvlJc w:val="left"/>
      <w:pPr>
        <w:ind w:left="4049" w:hanging="221"/>
      </w:pPr>
      <w:rPr>
        <w:rFonts w:ascii="Calibri" w:hAnsi="Calibri" w:cs="Calibri"/>
        <w:b w:val="0"/>
        <w:bCs w:val="0"/>
        <w:spacing w:val="-1"/>
        <w:sz w:val="22"/>
        <w:szCs w:val="22"/>
      </w:rPr>
    </w:lvl>
    <w:lvl w:ilvl="2">
      <w:numFmt w:val="bullet"/>
      <w:lvlText w:val="•"/>
      <w:lvlJc w:val="left"/>
      <w:pPr>
        <w:ind w:left="4049" w:hanging="221"/>
      </w:pPr>
    </w:lvl>
    <w:lvl w:ilvl="3">
      <w:numFmt w:val="bullet"/>
      <w:lvlText w:val="•"/>
      <w:lvlJc w:val="left"/>
      <w:pPr>
        <w:ind w:left="4081" w:hanging="221"/>
      </w:pPr>
    </w:lvl>
    <w:lvl w:ilvl="4">
      <w:numFmt w:val="bullet"/>
      <w:lvlText w:val="•"/>
      <w:lvlJc w:val="left"/>
      <w:pPr>
        <w:ind w:left="4131" w:hanging="221"/>
      </w:pPr>
    </w:lvl>
    <w:lvl w:ilvl="5">
      <w:numFmt w:val="bullet"/>
      <w:lvlText w:val="•"/>
      <w:lvlJc w:val="left"/>
      <w:pPr>
        <w:ind w:left="4136" w:hanging="221"/>
      </w:pPr>
    </w:lvl>
    <w:lvl w:ilvl="6">
      <w:numFmt w:val="bullet"/>
      <w:lvlText w:val="•"/>
      <w:lvlJc w:val="left"/>
      <w:pPr>
        <w:ind w:left="5140" w:hanging="221"/>
      </w:pPr>
    </w:lvl>
    <w:lvl w:ilvl="7">
      <w:numFmt w:val="bullet"/>
      <w:lvlText w:val="•"/>
      <w:lvlJc w:val="left"/>
      <w:pPr>
        <w:ind w:left="6145" w:hanging="221"/>
      </w:pPr>
    </w:lvl>
    <w:lvl w:ilvl="8">
      <w:numFmt w:val="bullet"/>
      <w:lvlText w:val="•"/>
      <w:lvlJc w:val="left"/>
      <w:pPr>
        <w:ind w:left="7150" w:hanging="221"/>
      </w:pPr>
    </w:lvl>
  </w:abstractNum>
  <w:abstractNum w:abstractNumId="1" w15:restartNumberingAfterBreak="0">
    <w:nsid w:val="00000403"/>
    <w:multiLevelType w:val="multilevel"/>
    <w:tmpl w:val="00000886"/>
    <w:lvl w:ilvl="0">
      <w:start w:val="2"/>
      <w:numFmt w:val="lowerLetter"/>
      <w:lvlText w:val="%1."/>
      <w:lvlJc w:val="left"/>
      <w:pPr>
        <w:ind w:left="2349" w:hanging="222"/>
      </w:pPr>
      <w:rPr>
        <w:rFonts w:ascii="Calibri" w:hAnsi="Calibri" w:cs="Calibri"/>
        <w:b w:val="0"/>
        <w:bCs w:val="0"/>
        <w:spacing w:val="-1"/>
        <w:sz w:val="22"/>
        <w:szCs w:val="22"/>
      </w:rPr>
    </w:lvl>
    <w:lvl w:ilvl="1">
      <w:numFmt w:val="bullet"/>
      <w:lvlText w:val="•"/>
      <w:lvlJc w:val="left"/>
      <w:pPr>
        <w:ind w:left="2660" w:hanging="222"/>
      </w:pPr>
    </w:lvl>
    <w:lvl w:ilvl="2">
      <w:numFmt w:val="bullet"/>
      <w:lvlText w:val="•"/>
      <w:lvlJc w:val="left"/>
      <w:pPr>
        <w:ind w:left="3386" w:hanging="222"/>
      </w:pPr>
    </w:lvl>
    <w:lvl w:ilvl="3">
      <w:numFmt w:val="bullet"/>
      <w:lvlText w:val="•"/>
      <w:lvlJc w:val="left"/>
      <w:pPr>
        <w:ind w:left="4113" w:hanging="222"/>
      </w:pPr>
    </w:lvl>
    <w:lvl w:ilvl="4">
      <w:numFmt w:val="bullet"/>
      <w:lvlText w:val="•"/>
      <w:lvlJc w:val="left"/>
      <w:pPr>
        <w:ind w:left="4840" w:hanging="222"/>
      </w:pPr>
    </w:lvl>
    <w:lvl w:ilvl="5">
      <w:numFmt w:val="bullet"/>
      <w:lvlText w:val="•"/>
      <w:lvlJc w:val="left"/>
      <w:pPr>
        <w:ind w:left="5566" w:hanging="222"/>
      </w:pPr>
    </w:lvl>
    <w:lvl w:ilvl="6">
      <w:numFmt w:val="bullet"/>
      <w:lvlText w:val="•"/>
      <w:lvlJc w:val="left"/>
      <w:pPr>
        <w:ind w:left="6293" w:hanging="222"/>
      </w:pPr>
    </w:lvl>
    <w:lvl w:ilvl="7">
      <w:numFmt w:val="bullet"/>
      <w:lvlText w:val="•"/>
      <w:lvlJc w:val="left"/>
      <w:pPr>
        <w:ind w:left="7020" w:hanging="222"/>
      </w:pPr>
    </w:lvl>
    <w:lvl w:ilvl="8">
      <w:numFmt w:val="bullet"/>
      <w:lvlText w:val="•"/>
      <w:lvlJc w:val="left"/>
      <w:pPr>
        <w:ind w:left="7746" w:hanging="222"/>
      </w:pPr>
    </w:lvl>
  </w:abstractNum>
  <w:abstractNum w:abstractNumId="2" w15:restartNumberingAfterBreak="0">
    <w:nsid w:val="06785F46"/>
    <w:multiLevelType w:val="hybridMultilevel"/>
    <w:tmpl w:val="309C48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55587B"/>
    <w:multiLevelType w:val="hybridMultilevel"/>
    <w:tmpl w:val="560A3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10133"/>
    <w:multiLevelType w:val="hybridMultilevel"/>
    <w:tmpl w:val="A6D6E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D042E"/>
    <w:multiLevelType w:val="hybridMultilevel"/>
    <w:tmpl w:val="286E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81530"/>
    <w:multiLevelType w:val="hybridMultilevel"/>
    <w:tmpl w:val="0AE6741A"/>
    <w:lvl w:ilvl="0" w:tplc="726298AA">
      <w:start w:val="1"/>
      <w:numFmt w:val="decimal"/>
      <w:lvlText w:val="%1)"/>
      <w:lvlJc w:val="left"/>
      <w:pPr>
        <w:ind w:left="700" w:hanging="360"/>
      </w:pPr>
      <w:rPr>
        <w:rFonts w:ascii="Times New Roman" w:eastAsia="Times New Roman" w:hAnsi="Times New Roman" w:cs="Times New Roman" w:hint="default"/>
        <w:spacing w:val="-20"/>
        <w:w w:val="100"/>
        <w:sz w:val="24"/>
        <w:szCs w:val="24"/>
        <w:lang w:val="en-US" w:eastAsia="en-US" w:bidi="ar-SA"/>
      </w:rPr>
    </w:lvl>
    <w:lvl w:ilvl="1" w:tplc="24DA0262">
      <w:numFmt w:val="bullet"/>
      <w:lvlText w:val="•"/>
      <w:lvlJc w:val="left"/>
      <w:pPr>
        <w:ind w:left="1160" w:hanging="360"/>
      </w:pPr>
      <w:rPr>
        <w:rFonts w:hint="default"/>
        <w:lang w:val="en-US" w:eastAsia="en-US" w:bidi="ar-SA"/>
      </w:rPr>
    </w:lvl>
    <w:lvl w:ilvl="2" w:tplc="A7389DC8">
      <w:numFmt w:val="bullet"/>
      <w:lvlText w:val="•"/>
      <w:lvlJc w:val="left"/>
      <w:pPr>
        <w:ind w:left="2195" w:hanging="360"/>
      </w:pPr>
      <w:rPr>
        <w:rFonts w:hint="default"/>
        <w:lang w:val="en-US" w:eastAsia="en-US" w:bidi="ar-SA"/>
      </w:rPr>
    </w:lvl>
    <w:lvl w:ilvl="3" w:tplc="B1F8265A">
      <w:numFmt w:val="bullet"/>
      <w:lvlText w:val="•"/>
      <w:lvlJc w:val="left"/>
      <w:pPr>
        <w:ind w:left="3231" w:hanging="360"/>
      </w:pPr>
      <w:rPr>
        <w:rFonts w:hint="default"/>
        <w:lang w:val="en-US" w:eastAsia="en-US" w:bidi="ar-SA"/>
      </w:rPr>
    </w:lvl>
    <w:lvl w:ilvl="4" w:tplc="D87238F2">
      <w:numFmt w:val="bullet"/>
      <w:lvlText w:val="•"/>
      <w:lvlJc w:val="left"/>
      <w:pPr>
        <w:ind w:left="4266" w:hanging="360"/>
      </w:pPr>
      <w:rPr>
        <w:rFonts w:hint="default"/>
        <w:lang w:val="en-US" w:eastAsia="en-US" w:bidi="ar-SA"/>
      </w:rPr>
    </w:lvl>
    <w:lvl w:ilvl="5" w:tplc="0DD610B0">
      <w:numFmt w:val="bullet"/>
      <w:lvlText w:val="•"/>
      <w:lvlJc w:val="left"/>
      <w:pPr>
        <w:ind w:left="5302" w:hanging="360"/>
      </w:pPr>
      <w:rPr>
        <w:rFonts w:hint="default"/>
        <w:lang w:val="en-US" w:eastAsia="en-US" w:bidi="ar-SA"/>
      </w:rPr>
    </w:lvl>
    <w:lvl w:ilvl="6" w:tplc="A4329698">
      <w:numFmt w:val="bullet"/>
      <w:lvlText w:val="•"/>
      <w:lvlJc w:val="left"/>
      <w:pPr>
        <w:ind w:left="6337" w:hanging="360"/>
      </w:pPr>
      <w:rPr>
        <w:rFonts w:hint="default"/>
        <w:lang w:val="en-US" w:eastAsia="en-US" w:bidi="ar-SA"/>
      </w:rPr>
    </w:lvl>
    <w:lvl w:ilvl="7" w:tplc="CE52DF54">
      <w:numFmt w:val="bullet"/>
      <w:lvlText w:val="•"/>
      <w:lvlJc w:val="left"/>
      <w:pPr>
        <w:ind w:left="7373" w:hanging="360"/>
      </w:pPr>
      <w:rPr>
        <w:rFonts w:hint="default"/>
        <w:lang w:val="en-US" w:eastAsia="en-US" w:bidi="ar-SA"/>
      </w:rPr>
    </w:lvl>
    <w:lvl w:ilvl="8" w:tplc="4648B024">
      <w:numFmt w:val="bullet"/>
      <w:lvlText w:val="•"/>
      <w:lvlJc w:val="left"/>
      <w:pPr>
        <w:ind w:left="8408" w:hanging="360"/>
      </w:pPr>
      <w:rPr>
        <w:rFonts w:hint="default"/>
        <w:lang w:val="en-US" w:eastAsia="en-US" w:bidi="ar-SA"/>
      </w:rPr>
    </w:lvl>
  </w:abstractNum>
  <w:abstractNum w:abstractNumId="7" w15:restartNumberingAfterBreak="0">
    <w:nsid w:val="42E464F3"/>
    <w:multiLevelType w:val="hybridMultilevel"/>
    <w:tmpl w:val="23A0FFBC"/>
    <w:lvl w:ilvl="0" w:tplc="553C579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F05634"/>
    <w:multiLevelType w:val="hybridMultilevel"/>
    <w:tmpl w:val="87485626"/>
    <w:lvl w:ilvl="0" w:tplc="B8EA5D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726B3"/>
    <w:multiLevelType w:val="hybridMultilevel"/>
    <w:tmpl w:val="DA72F908"/>
    <w:lvl w:ilvl="0" w:tplc="615C5CEC">
      <w:numFmt w:val="bullet"/>
      <w:lvlText w:val=""/>
      <w:lvlJc w:val="left"/>
      <w:pPr>
        <w:ind w:left="1660" w:hanging="561"/>
      </w:pPr>
      <w:rPr>
        <w:rFonts w:ascii="Symbol" w:eastAsia="Symbol" w:hAnsi="Symbol" w:cs="Symbol" w:hint="default"/>
        <w:w w:val="96"/>
        <w:sz w:val="24"/>
        <w:szCs w:val="24"/>
        <w:lang w:val="en-US" w:eastAsia="en-US" w:bidi="ar-SA"/>
      </w:rPr>
    </w:lvl>
    <w:lvl w:ilvl="1" w:tplc="4AA2A9F2">
      <w:start w:val="1"/>
      <w:numFmt w:val="decimal"/>
      <w:lvlText w:val="%2)"/>
      <w:lvlJc w:val="left"/>
      <w:pPr>
        <w:ind w:left="1160" w:hanging="260"/>
      </w:pPr>
      <w:rPr>
        <w:rFonts w:ascii="Times New Roman" w:eastAsia="Times New Roman" w:hAnsi="Times New Roman" w:cs="Times New Roman" w:hint="default"/>
        <w:spacing w:val="-11"/>
        <w:w w:val="100"/>
        <w:sz w:val="24"/>
        <w:szCs w:val="24"/>
        <w:lang w:val="en-US" w:eastAsia="en-US" w:bidi="ar-SA"/>
      </w:rPr>
    </w:lvl>
    <w:lvl w:ilvl="2" w:tplc="5B6C998E">
      <w:numFmt w:val="bullet"/>
      <w:lvlText w:val="•"/>
      <w:lvlJc w:val="left"/>
      <w:pPr>
        <w:ind w:left="2640" w:hanging="260"/>
      </w:pPr>
      <w:rPr>
        <w:rFonts w:hint="default"/>
        <w:lang w:val="en-US" w:eastAsia="en-US" w:bidi="ar-SA"/>
      </w:rPr>
    </w:lvl>
    <w:lvl w:ilvl="3" w:tplc="6AFE2718">
      <w:numFmt w:val="bullet"/>
      <w:lvlText w:val="•"/>
      <w:lvlJc w:val="left"/>
      <w:pPr>
        <w:ind w:left="3620" w:hanging="260"/>
      </w:pPr>
      <w:rPr>
        <w:rFonts w:hint="default"/>
        <w:lang w:val="en-US" w:eastAsia="en-US" w:bidi="ar-SA"/>
      </w:rPr>
    </w:lvl>
    <w:lvl w:ilvl="4" w:tplc="1AF6CA84">
      <w:numFmt w:val="bullet"/>
      <w:lvlText w:val="•"/>
      <w:lvlJc w:val="left"/>
      <w:pPr>
        <w:ind w:left="4600" w:hanging="260"/>
      </w:pPr>
      <w:rPr>
        <w:rFonts w:hint="default"/>
        <w:lang w:val="en-US" w:eastAsia="en-US" w:bidi="ar-SA"/>
      </w:rPr>
    </w:lvl>
    <w:lvl w:ilvl="5" w:tplc="ADB8034E">
      <w:numFmt w:val="bullet"/>
      <w:lvlText w:val="•"/>
      <w:lvlJc w:val="left"/>
      <w:pPr>
        <w:ind w:left="5580" w:hanging="260"/>
      </w:pPr>
      <w:rPr>
        <w:rFonts w:hint="default"/>
        <w:lang w:val="en-US" w:eastAsia="en-US" w:bidi="ar-SA"/>
      </w:rPr>
    </w:lvl>
    <w:lvl w:ilvl="6" w:tplc="31782BDC">
      <w:numFmt w:val="bullet"/>
      <w:lvlText w:val="•"/>
      <w:lvlJc w:val="left"/>
      <w:pPr>
        <w:ind w:left="6560" w:hanging="260"/>
      </w:pPr>
      <w:rPr>
        <w:rFonts w:hint="default"/>
        <w:lang w:val="en-US" w:eastAsia="en-US" w:bidi="ar-SA"/>
      </w:rPr>
    </w:lvl>
    <w:lvl w:ilvl="7" w:tplc="FA821584">
      <w:numFmt w:val="bullet"/>
      <w:lvlText w:val="•"/>
      <w:lvlJc w:val="left"/>
      <w:pPr>
        <w:ind w:left="7540" w:hanging="260"/>
      </w:pPr>
      <w:rPr>
        <w:rFonts w:hint="default"/>
        <w:lang w:val="en-US" w:eastAsia="en-US" w:bidi="ar-SA"/>
      </w:rPr>
    </w:lvl>
    <w:lvl w:ilvl="8" w:tplc="D9E4AB22">
      <w:numFmt w:val="bullet"/>
      <w:lvlText w:val="•"/>
      <w:lvlJc w:val="left"/>
      <w:pPr>
        <w:ind w:left="8520" w:hanging="260"/>
      </w:pPr>
      <w:rPr>
        <w:rFonts w:hint="default"/>
        <w:lang w:val="en-US" w:eastAsia="en-US" w:bidi="ar-SA"/>
      </w:rPr>
    </w:lvl>
  </w:abstractNum>
  <w:num w:numId="1">
    <w:abstractNumId w:val="3"/>
  </w:num>
  <w:num w:numId="2">
    <w:abstractNumId w:val="8"/>
  </w:num>
  <w:num w:numId="3">
    <w:abstractNumId w:val="1"/>
  </w:num>
  <w:num w:numId="4">
    <w:abstractNumId w:val="0"/>
  </w:num>
  <w:num w:numId="5">
    <w:abstractNumId w:val="4"/>
  </w:num>
  <w:num w:numId="6">
    <w:abstractNumId w:val="6"/>
  </w:num>
  <w:num w:numId="7">
    <w:abstractNumId w:val="9"/>
  </w:num>
  <w:num w:numId="8">
    <w:abstractNumId w:val="5"/>
  </w:num>
  <w:num w:numId="9">
    <w:abstractNumId w:val="2"/>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5B"/>
    <w:rsid w:val="00000591"/>
    <w:rsid w:val="000005EC"/>
    <w:rsid w:val="0000172C"/>
    <w:rsid w:val="0000312F"/>
    <w:rsid w:val="00005CA8"/>
    <w:rsid w:val="00011126"/>
    <w:rsid w:val="00017025"/>
    <w:rsid w:val="000221C0"/>
    <w:rsid w:val="00024803"/>
    <w:rsid w:val="00025AC0"/>
    <w:rsid w:val="000264DE"/>
    <w:rsid w:val="0003245B"/>
    <w:rsid w:val="00040407"/>
    <w:rsid w:val="0004063E"/>
    <w:rsid w:val="00040C34"/>
    <w:rsid w:val="00043514"/>
    <w:rsid w:val="000455CA"/>
    <w:rsid w:val="00045A0C"/>
    <w:rsid w:val="0004678F"/>
    <w:rsid w:val="00050674"/>
    <w:rsid w:val="00055E43"/>
    <w:rsid w:val="000625DB"/>
    <w:rsid w:val="000651D9"/>
    <w:rsid w:val="00066A81"/>
    <w:rsid w:val="00070E1D"/>
    <w:rsid w:val="00071F33"/>
    <w:rsid w:val="000724F8"/>
    <w:rsid w:val="000736F9"/>
    <w:rsid w:val="000803B8"/>
    <w:rsid w:val="00080F6B"/>
    <w:rsid w:val="00083F7E"/>
    <w:rsid w:val="00092A7E"/>
    <w:rsid w:val="000938B6"/>
    <w:rsid w:val="00093E90"/>
    <w:rsid w:val="00094ED8"/>
    <w:rsid w:val="0009607C"/>
    <w:rsid w:val="000A4730"/>
    <w:rsid w:val="000A5167"/>
    <w:rsid w:val="000A78AA"/>
    <w:rsid w:val="000B0646"/>
    <w:rsid w:val="000B1EF1"/>
    <w:rsid w:val="000B47CA"/>
    <w:rsid w:val="000B5481"/>
    <w:rsid w:val="000B5B6C"/>
    <w:rsid w:val="000B5BEB"/>
    <w:rsid w:val="000C2848"/>
    <w:rsid w:val="000C2AD0"/>
    <w:rsid w:val="000C3F91"/>
    <w:rsid w:val="000C3FC6"/>
    <w:rsid w:val="000C5E7A"/>
    <w:rsid w:val="000D0FE9"/>
    <w:rsid w:val="000D127B"/>
    <w:rsid w:val="000D160A"/>
    <w:rsid w:val="000D1A76"/>
    <w:rsid w:val="000D1C64"/>
    <w:rsid w:val="000D31C9"/>
    <w:rsid w:val="000D4205"/>
    <w:rsid w:val="000D6A26"/>
    <w:rsid w:val="000D6D4C"/>
    <w:rsid w:val="000F0313"/>
    <w:rsid w:val="000F3B5D"/>
    <w:rsid w:val="000F45A7"/>
    <w:rsid w:val="000F6909"/>
    <w:rsid w:val="000F6E3C"/>
    <w:rsid w:val="00100183"/>
    <w:rsid w:val="00103DED"/>
    <w:rsid w:val="00110108"/>
    <w:rsid w:val="001115A5"/>
    <w:rsid w:val="00111FDB"/>
    <w:rsid w:val="00121866"/>
    <w:rsid w:val="00122B48"/>
    <w:rsid w:val="00130A6A"/>
    <w:rsid w:val="00130D78"/>
    <w:rsid w:val="00132754"/>
    <w:rsid w:val="00132E5B"/>
    <w:rsid w:val="00133616"/>
    <w:rsid w:val="001340F2"/>
    <w:rsid w:val="001356CC"/>
    <w:rsid w:val="0013700F"/>
    <w:rsid w:val="00141213"/>
    <w:rsid w:val="001435CA"/>
    <w:rsid w:val="00155B9B"/>
    <w:rsid w:val="00155D57"/>
    <w:rsid w:val="00161AF0"/>
    <w:rsid w:val="00164880"/>
    <w:rsid w:val="001658E5"/>
    <w:rsid w:val="00166786"/>
    <w:rsid w:val="00173CB6"/>
    <w:rsid w:val="00177116"/>
    <w:rsid w:val="00177255"/>
    <w:rsid w:val="0018092A"/>
    <w:rsid w:val="001841CA"/>
    <w:rsid w:val="00185C6C"/>
    <w:rsid w:val="001862C9"/>
    <w:rsid w:val="00186B0E"/>
    <w:rsid w:val="00193EEF"/>
    <w:rsid w:val="00195013"/>
    <w:rsid w:val="00195AA7"/>
    <w:rsid w:val="00196682"/>
    <w:rsid w:val="00197864"/>
    <w:rsid w:val="001A1853"/>
    <w:rsid w:val="001A1D30"/>
    <w:rsid w:val="001B3505"/>
    <w:rsid w:val="001C1491"/>
    <w:rsid w:val="001C1AE4"/>
    <w:rsid w:val="001C5AA4"/>
    <w:rsid w:val="001C5DDD"/>
    <w:rsid w:val="001C72B7"/>
    <w:rsid w:val="001D0DD9"/>
    <w:rsid w:val="001D58B9"/>
    <w:rsid w:val="001D6822"/>
    <w:rsid w:val="001D6C20"/>
    <w:rsid w:val="001E29E0"/>
    <w:rsid w:val="001E3F61"/>
    <w:rsid w:val="001E5881"/>
    <w:rsid w:val="001E7B0A"/>
    <w:rsid w:val="001F0A0C"/>
    <w:rsid w:val="001F0D37"/>
    <w:rsid w:val="001F2A41"/>
    <w:rsid w:val="001F3D3F"/>
    <w:rsid w:val="001F7520"/>
    <w:rsid w:val="001F76C8"/>
    <w:rsid w:val="002005C7"/>
    <w:rsid w:val="00200C79"/>
    <w:rsid w:val="00202858"/>
    <w:rsid w:val="00211CBE"/>
    <w:rsid w:val="002123A8"/>
    <w:rsid w:val="00215F3B"/>
    <w:rsid w:val="00216DED"/>
    <w:rsid w:val="00220E9F"/>
    <w:rsid w:val="0022114E"/>
    <w:rsid w:val="002252D8"/>
    <w:rsid w:val="0023475B"/>
    <w:rsid w:val="00237C63"/>
    <w:rsid w:val="002427BD"/>
    <w:rsid w:val="0024404A"/>
    <w:rsid w:val="00250FB8"/>
    <w:rsid w:val="00252DFA"/>
    <w:rsid w:val="002538DD"/>
    <w:rsid w:val="00257E49"/>
    <w:rsid w:val="00261F56"/>
    <w:rsid w:val="00263FF9"/>
    <w:rsid w:val="00265693"/>
    <w:rsid w:val="00265B36"/>
    <w:rsid w:val="00265C8D"/>
    <w:rsid w:val="002710A0"/>
    <w:rsid w:val="002772F1"/>
    <w:rsid w:val="00277B62"/>
    <w:rsid w:val="00282A2F"/>
    <w:rsid w:val="00283AB3"/>
    <w:rsid w:val="00286BAE"/>
    <w:rsid w:val="00287A8B"/>
    <w:rsid w:val="00292424"/>
    <w:rsid w:val="002A0236"/>
    <w:rsid w:val="002A1562"/>
    <w:rsid w:val="002A2959"/>
    <w:rsid w:val="002A4FFE"/>
    <w:rsid w:val="002A6940"/>
    <w:rsid w:val="002B19FE"/>
    <w:rsid w:val="002B1BD7"/>
    <w:rsid w:val="002B29D3"/>
    <w:rsid w:val="002B4987"/>
    <w:rsid w:val="002B673A"/>
    <w:rsid w:val="002C4945"/>
    <w:rsid w:val="002C4AD0"/>
    <w:rsid w:val="002C4D45"/>
    <w:rsid w:val="002C7168"/>
    <w:rsid w:val="002C7E40"/>
    <w:rsid w:val="002D01A8"/>
    <w:rsid w:val="002D2703"/>
    <w:rsid w:val="002E10A8"/>
    <w:rsid w:val="002E6BBB"/>
    <w:rsid w:val="002E6F52"/>
    <w:rsid w:val="002F01B7"/>
    <w:rsid w:val="002F0442"/>
    <w:rsid w:val="002F0D3C"/>
    <w:rsid w:val="002F3685"/>
    <w:rsid w:val="002F4A51"/>
    <w:rsid w:val="0030355C"/>
    <w:rsid w:val="00310E7D"/>
    <w:rsid w:val="00312070"/>
    <w:rsid w:val="00313AC6"/>
    <w:rsid w:val="00315670"/>
    <w:rsid w:val="003157ED"/>
    <w:rsid w:val="00316FA5"/>
    <w:rsid w:val="0031791A"/>
    <w:rsid w:val="00317C45"/>
    <w:rsid w:val="0032223A"/>
    <w:rsid w:val="003234F1"/>
    <w:rsid w:val="0032546C"/>
    <w:rsid w:val="003315D0"/>
    <w:rsid w:val="0034022E"/>
    <w:rsid w:val="00340CF2"/>
    <w:rsid w:val="00341037"/>
    <w:rsid w:val="00341A40"/>
    <w:rsid w:val="00342A70"/>
    <w:rsid w:val="0034316F"/>
    <w:rsid w:val="00350354"/>
    <w:rsid w:val="00350B40"/>
    <w:rsid w:val="0035359A"/>
    <w:rsid w:val="003545B9"/>
    <w:rsid w:val="0035516E"/>
    <w:rsid w:val="00357459"/>
    <w:rsid w:val="00360EF1"/>
    <w:rsid w:val="00362B24"/>
    <w:rsid w:val="003635F0"/>
    <w:rsid w:val="00364B80"/>
    <w:rsid w:val="003658CF"/>
    <w:rsid w:val="003668CE"/>
    <w:rsid w:val="003822DA"/>
    <w:rsid w:val="0038687C"/>
    <w:rsid w:val="003912E9"/>
    <w:rsid w:val="0039732F"/>
    <w:rsid w:val="003A03E0"/>
    <w:rsid w:val="003A286C"/>
    <w:rsid w:val="003A7313"/>
    <w:rsid w:val="003A7366"/>
    <w:rsid w:val="003B0F85"/>
    <w:rsid w:val="003B2288"/>
    <w:rsid w:val="003B5460"/>
    <w:rsid w:val="003C3231"/>
    <w:rsid w:val="003D173D"/>
    <w:rsid w:val="003D2D9C"/>
    <w:rsid w:val="003D5748"/>
    <w:rsid w:val="003E1B01"/>
    <w:rsid w:val="003E4113"/>
    <w:rsid w:val="003E5C2D"/>
    <w:rsid w:val="003F3A1A"/>
    <w:rsid w:val="003F42A0"/>
    <w:rsid w:val="00403AF0"/>
    <w:rsid w:val="00403C96"/>
    <w:rsid w:val="004101EA"/>
    <w:rsid w:val="00412844"/>
    <w:rsid w:val="00417147"/>
    <w:rsid w:val="00423F00"/>
    <w:rsid w:val="00426A5B"/>
    <w:rsid w:val="00427CCB"/>
    <w:rsid w:val="00433E92"/>
    <w:rsid w:val="004372B8"/>
    <w:rsid w:val="004375DE"/>
    <w:rsid w:val="00437B04"/>
    <w:rsid w:val="00455236"/>
    <w:rsid w:val="00457126"/>
    <w:rsid w:val="00457ECB"/>
    <w:rsid w:val="00460215"/>
    <w:rsid w:val="004651B2"/>
    <w:rsid w:val="00465E0E"/>
    <w:rsid w:val="00466212"/>
    <w:rsid w:val="00476E75"/>
    <w:rsid w:val="00484563"/>
    <w:rsid w:val="004847B2"/>
    <w:rsid w:val="00484980"/>
    <w:rsid w:val="004855C0"/>
    <w:rsid w:val="00493C31"/>
    <w:rsid w:val="0049488D"/>
    <w:rsid w:val="004A210F"/>
    <w:rsid w:val="004A65EF"/>
    <w:rsid w:val="004A78BA"/>
    <w:rsid w:val="004B0E1D"/>
    <w:rsid w:val="004B4315"/>
    <w:rsid w:val="004B596F"/>
    <w:rsid w:val="004C2455"/>
    <w:rsid w:val="004D16A8"/>
    <w:rsid w:val="004D2292"/>
    <w:rsid w:val="004D3919"/>
    <w:rsid w:val="004D42AE"/>
    <w:rsid w:val="004D4B17"/>
    <w:rsid w:val="004F4243"/>
    <w:rsid w:val="004F6784"/>
    <w:rsid w:val="00500B62"/>
    <w:rsid w:val="0050222D"/>
    <w:rsid w:val="00502A78"/>
    <w:rsid w:val="005059C4"/>
    <w:rsid w:val="00506AEA"/>
    <w:rsid w:val="00517328"/>
    <w:rsid w:val="00517ED2"/>
    <w:rsid w:val="005237C7"/>
    <w:rsid w:val="00523840"/>
    <w:rsid w:val="00526D07"/>
    <w:rsid w:val="00534187"/>
    <w:rsid w:val="00535576"/>
    <w:rsid w:val="00537E5B"/>
    <w:rsid w:val="00541163"/>
    <w:rsid w:val="00541C85"/>
    <w:rsid w:val="00541EA9"/>
    <w:rsid w:val="005424CD"/>
    <w:rsid w:val="00547068"/>
    <w:rsid w:val="0055188C"/>
    <w:rsid w:val="00563CB2"/>
    <w:rsid w:val="00565ECC"/>
    <w:rsid w:val="0057639C"/>
    <w:rsid w:val="00580CAD"/>
    <w:rsid w:val="00581649"/>
    <w:rsid w:val="00581D27"/>
    <w:rsid w:val="00581EC9"/>
    <w:rsid w:val="00586F9D"/>
    <w:rsid w:val="0058795B"/>
    <w:rsid w:val="00591174"/>
    <w:rsid w:val="00591A14"/>
    <w:rsid w:val="005921DF"/>
    <w:rsid w:val="00592C11"/>
    <w:rsid w:val="00593882"/>
    <w:rsid w:val="0059740A"/>
    <w:rsid w:val="005A0CD8"/>
    <w:rsid w:val="005A1730"/>
    <w:rsid w:val="005A1DAE"/>
    <w:rsid w:val="005A60E5"/>
    <w:rsid w:val="005B0D6B"/>
    <w:rsid w:val="005B1F1A"/>
    <w:rsid w:val="005B3A43"/>
    <w:rsid w:val="005B65E2"/>
    <w:rsid w:val="005C0718"/>
    <w:rsid w:val="005C2ADE"/>
    <w:rsid w:val="005C3FED"/>
    <w:rsid w:val="005C60A0"/>
    <w:rsid w:val="005D2842"/>
    <w:rsid w:val="005D4BF3"/>
    <w:rsid w:val="005D4DAA"/>
    <w:rsid w:val="005D6147"/>
    <w:rsid w:val="005D6A57"/>
    <w:rsid w:val="005E35AD"/>
    <w:rsid w:val="005E3FD6"/>
    <w:rsid w:val="005E76D1"/>
    <w:rsid w:val="005F0230"/>
    <w:rsid w:val="005F277A"/>
    <w:rsid w:val="005F347D"/>
    <w:rsid w:val="005F4F34"/>
    <w:rsid w:val="005F58F5"/>
    <w:rsid w:val="005F6FA2"/>
    <w:rsid w:val="006029FD"/>
    <w:rsid w:val="006122C6"/>
    <w:rsid w:val="0061295E"/>
    <w:rsid w:val="00626AC8"/>
    <w:rsid w:val="00630309"/>
    <w:rsid w:val="0063509F"/>
    <w:rsid w:val="00644F72"/>
    <w:rsid w:val="00645965"/>
    <w:rsid w:val="00651C14"/>
    <w:rsid w:val="006640BA"/>
    <w:rsid w:val="006651EA"/>
    <w:rsid w:val="0066719E"/>
    <w:rsid w:val="006708E9"/>
    <w:rsid w:val="006709A8"/>
    <w:rsid w:val="006724EC"/>
    <w:rsid w:val="00675DC7"/>
    <w:rsid w:val="006760D7"/>
    <w:rsid w:val="00676CD0"/>
    <w:rsid w:val="00681810"/>
    <w:rsid w:val="00682D04"/>
    <w:rsid w:val="00683676"/>
    <w:rsid w:val="0068509E"/>
    <w:rsid w:val="00694098"/>
    <w:rsid w:val="006960A5"/>
    <w:rsid w:val="006A15D7"/>
    <w:rsid w:val="006A2226"/>
    <w:rsid w:val="006A2CF6"/>
    <w:rsid w:val="006A4062"/>
    <w:rsid w:val="006B233D"/>
    <w:rsid w:val="006B3CCC"/>
    <w:rsid w:val="006B4B74"/>
    <w:rsid w:val="006B5358"/>
    <w:rsid w:val="006B5516"/>
    <w:rsid w:val="006B60C4"/>
    <w:rsid w:val="006C4EB9"/>
    <w:rsid w:val="006D4E73"/>
    <w:rsid w:val="006D4F50"/>
    <w:rsid w:val="006E1493"/>
    <w:rsid w:val="006E5CFB"/>
    <w:rsid w:val="006E5D1A"/>
    <w:rsid w:val="006E784F"/>
    <w:rsid w:val="0070225E"/>
    <w:rsid w:val="00702B1A"/>
    <w:rsid w:val="00706608"/>
    <w:rsid w:val="00711B84"/>
    <w:rsid w:val="00715CFC"/>
    <w:rsid w:val="00716FBC"/>
    <w:rsid w:val="0072017E"/>
    <w:rsid w:val="007355C2"/>
    <w:rsid w:val="0073662F"/>
    <w:rsid w:val="007426D9"/>
    <w:rsid w:val="00747B9E"/>
    <w:rsid w:val="00751E68"/>
    <w:rsid w:val="00755687"/>
    <w:rsid w:val="007560EF"/>
    <w:rsid w:val="00766891"/>
    <w:rsid w:val="00772E88"/>
    <w:rsid w:val="007772BD"/>
    <w:rsid w:val="00777E51"/>
    <w:rsid w:val="00781B96"/>
    <w:rsid w:val="007830D4"/>
    <w:rsid w:val="00783681"/>
    <w:rsid w:val="0078640E"/>
    <w:rsid w:val="00790814"/>
    <w:rsid w:val="00790FAF"/>
    <w:rsid w:val="007914AD"/>
    <w:rsid w:val="00792A48"/>
    <w:rsid w:val="00794779"/>
    <w:rsid w:val="0079689D"/>
    <w:rsid w:val="007A4F52"/>
    <w:rsid w:val="007A5309"/>
    <w:rsid w:val="007B34BF"/>
    <w:rsid w:val="007B60D4"/>
    <w:rsid w:val="007B6D26"/>
    <w:rsid w:val="007C1EA7"/>
    <w:rsid w:val="007D1190"/>
    <w:rsid w:val="007D1379"/>
    <w:rsid w:val="007D2505"/>
    <w:rsid w:val="007D419F"/>
    <w:rsid w:val="007D4B90"/>
    <w:rsid w:val="007D5992"/>
    <w:rsid w:val="007D603E"/>
    <w:rsid w:val="007E0771"/>
    <w:rsid w:val="007F4929"/>
    <w:rsid w:val="007F68D4"/>
    <w:rsid w:val="007F70D1"/>
    <w:rsid w:val="008003B7"/>
    <w:rsid w:val="00800972"/>
    <w:rsid w:val="00804652"/>
    <w:rsid w:val="00804A1D"/>
    <w:rsid w:val="00805A57"/>
    <w:rsid w:val="008065B2"/>
    <w:rsid w:val="0081300D"/>
    <w:rsid w:val="00822869"/>
    <w:rsid w:val="00825267"/>
    <w:rsid w:val="00826581"/>
    <w:rsid w:val="00830440"/>
    <w:rsid w:val="008319C1"/>
    <w:rsid w:val="00832424"/>
    <w:rsid w:val="00835709"/>
    <w:rsid w:val="00836DDF"/>
    <w:rsid w:val="00842623"/>
    <w:rsid w:val="00842C64"/>
    <w:rsid w:val="00844E8D"/>
    <w:rsid w:val="00845090"/>
    <w:rsid w:val="00845532"/>
    <w:rsid w:val="00850BE6"/>
    <w:rsid w:val="0085310E"/>
    <w:rsid w:val="00863BA6"/>
    <w:rsid w:val="008655FC"/>
    <w:rsid w:val="008662A9"/>
    <w:rsid w:val="00866672"/>
    <w:rsid w:val="008675EF"/>
    <w:rsid w:val="0087171F"/>
    <w:rsid w:val="008719B1"/>
    <w:rsid w:val="00873406"/>
    <w:rsid w:val="00875B4D"/>
    <w:rsid w:val="00876628"/>
    <w:rsid w:val="00880C16"/>
    <w:rsid w:val="00882E54"/>
    <w:rsid w:val="008931D8"/>
    <w:rsid w:val="008933BE"/>
    <w:rsid w:val="008942C8"/>
    <w:rsid w:val="0089642A"/>
    <w:rsid w:val="008A586D"/>
    <w:rsid w:val="008A739D"/>
    <w:rsid w:val="008B29AB"/>
    <w:rsid w:val="008B71C0"/>
    <w:rsid w:val="008C1040"/>
    <w:rsid w:val="008C239B"/>
    <w:rsid w:val="008D000E"/>
    <w:rsid w:val="008D0AEF"/>
    <w:rsid w:val="008D5DF2"/>
    <w:rsid w:val="008D61A9"/>
    <w:rsid w:val="008D7AAA"/>
    <w:rsid w:val="008D7E7F"/>
    <w:rsid w:val="008E3E44"/>
    <w:rsid w:val="008E3F82"/>
    <w:rsid w:val="008E51A8"/>
    <w:rsid w:val="008F0735"/>
    <w:rsid w:val="008F1745"/>
    <w:rsid w:val="008F34E3"/>
    <w:rsid w:val="008F3B7E"/>
    <w:rsid w:val="008F7424"/>
    <w:rsid w:val="00906A87"/>
    <w:rsid w:val="00911DB7"/>
    <w:rsid w:val="0091654D"/>
    <w:rsid w:val="00917ED6"/>
    <w:rsid w:val="00922A7F"/>
    <w:rsid w:val="009276AF"/>
    <w:rsid w:val="00932010"/>
    <w:rsid w:val="0093310C"/>
    <w:rsid w:val="00933F1B"/>
    <w:rsid w:val="0093460E"/>
    <w:rsid w:val="00934714"/>
    <w:rsid w:val="009368DD"/>
    <w:rsid w:val="00945E8C"/>
    <w:rsid w:val="00947809"/>
    <w:rsid w:val="00947A84"/>
    <w:rsid w:val="00950902"/>
    <w:rsid w:val="00950A90"/>
    <w:rsid w:val="00952AE2"/>
    <w:rsid w:val="00955E89"/>
    <w:rsid w:val="00956C5D"/>
    <w:rsid w:val="0096027E"/>
    <w:rsid w:val="00966321"/>
    <w:rsid w:val="0097321B"/>
    <w:rsid w:val="00976B0D"/>
    <w:rsid w:val="00982C91"/>
    <w:rsid w:val="009830C9"/>
    <w:rsid w:val="00983C16"/>
    <w:rsid w:val="009872F9"/>
    <w:rsid w:val="0099084F"/>
    <w:rsid w:val="0099189B"/>
    <w:rsid w:val="00997E1C"/>
    <w:rsid w:val="009A0C08"/>
    <w:rsid w:val="009A2116"/>
    <w:rsid w:val="009A5CD7"/>
    <w:rsid w:val="009B54CD"/>
    <w:rsid w:val="009C1B3C"/>
    <w:rsid w:val="009C1DB3"/>
    <w:rsid w:val="009C22B7"/>
    <w:rsid w:val="009C5721"/>
    <w:rsid w:val="009D2418"/>
    <w:rsid w:val="009D2EA7"/>
    <w:rsid w:val="009D581E"/>
    <w:rsid w:val="009E0EA5"/>
    <w:rsid w:val="009E3ADF"/>
    <w:rsid w:val="009E3D1A"/>
    <w:rsid w:val="009F163C"/>
    <w:rsid w:val="009F3670"/>
    <w:rsid w:val="009F4426"/>
    <w:rsid w:val="009F61FD"/>
    <w:rsid w:val="009F6715"/>
    <w:rsid w:val="00A0338B"/>
    <w:rsid w:val="00A12C5E"/>
    <w:rsid w:val="00A16255"/>
    <w:rsid w:val="00A16D66"/>
    <w:rsid w:val="00A2337E"/>
    <w:rsid w:val="00A23CE6"/>
    <w:rsid w:val="00A24D0E"/>
    <w:rsid w:val="00A25265"/>
    <w:rsid w:val="00A27AB6"/>
    <w:rsid w:val="00A27CB0"/>
    <w:rsid w:val="00A335A4"/>
    <w:rsid w:val="00A36F73"/>
    <w:rsid w:val="00A432ED"/>
    <w:rsid w:val="00A52E10"/>
    <w:rsid w:val="00A537AC"/>
    <w:rsid w:val="00A5674D"/>
    <w:rsid w:val="00A62A38"/>
    <w:rsid w:val="00A65529"/>
    <w:rsid w:val="00A71ED2"/>
    <w:rsid w:val="00A8450D"/>
    <w:rsid w:val="00A86E32"/>
    <w:rsid w:val="00A9065A"/>
    <w:rsid w:val="00A96BC8"/>
    <w:rsid w:val="00A97D1A"/>
    <w:rsid w:val="00AA09DC"/>
    <w:rsid w:val="00AA523B"/>
    <w:rsid w:val="00AA64FF"/>
    <w:rsid w:val="00AA7B1B"/>
    <w:rsid w:val="00AB201F"/>
    <w:rsid w:val="00AB299D"/>
    <w:rsid w:val="00AB6471"/>
    <w:rsid w:val="00AB65BA"/>
    <w:rsid w:val="00AC11DB"/>
    <w:rsid w:val="00AC1CD0"/>
    <w:rsid w:val="00AC2E96"/>
    <w:rsid w:val="00AC2FC4"/>
    <w:rsid w:val="00AC3308"/>
    <w:rsid w:val="00AC7A0D"/>
    <w:rsid w:val="00AD42A8"/>
    <w:rsid w:val="00AE1D6E"/>
    <w:rsid w:val="00AE2D44"/>
    <w:rsid w:val="00AE3F17"/>
    <w:rsid w:val="00AE4DE4"/>
    <w:rsid w:val="00AE53B6"/>
    <w:rsid w:val="00AE73EB"/>
    <w:rsid w:val="00AE7CA6"/>
    <w:rsid w:val="00AF69EF"/>
    <w:rsid w:val="00B006DA"/>
    <w:rsid w:val="00B01F73"/>
    <w:rsid w:val="00B13249"/>
    <w:rsid w:val="00B16859"/>
    <w:rsid w:val="00B272EA"/>
    <w:rsid w:val="00B33E3B"/>
    <w:rsid w:val="00B35CEC"/>
    <w:rsid w:val="00B40E46"/>
    <w:rsid w:val="00B4135B"/>
    <w:rsid w:val="00B413FE"/>
    <w:rsid w:val="00B427DB"/>
    <w:rsid w:val="00B511F5"/>
    <w:rsid w:val="00B51C55"/>
    <w:rsid w:val="00B51CF1"/>
    <w:rsid w:val="00B53242"/>
    <w:rsid w:val="00B55B5F"/>
    <w:rsid w:val="00B60241"/>
    <w:rsid w:val="00B6106D"/>
    <w:rsid w:val="00B635F1"/>
    <w:rsid w:val="00B66614"/>
    <w:rsid w:val="00B7088A"/>
    <w:rsid w:val="00B71FF0"/>
    <w:rsid w:val="00B7203B"/>
    <w:rsid w:val="00B7233B"/>
    <w:rsid w:val="00B758C7"/>
    <w:rsid w:val="00B77DE6"/>
    <w:rsid w:val="00B80D43"/>
    <w:rsid w:val="00B80D9A"/>
    <w:rsid w:val="00B81005"/>
    <w:rsid w:val="00B82BD8"/>
    <w:rsid w:val="00B857D5"/>
    <w:rsid w:val="00B9017D"/>
    <w:rsid w:val="00B918A6"/>
    <w:rsid w:val="00B93741"/>
    <w:rsid w:val="00BA0FF7"/>
    <w:rsid w:val="00BA3C52"/>
    <w:rsid w:val="00BA5BE7"/>
    <w:rsid w:val="00BA776C"/>
    <w:rsid w:val="00BB3B4D"/>
    <w:rsid w:val="00BB460B"/>
    <w:rsid w:val="00BB5A6B"/>
    <w:rsid w:val="00BC1EB4"/>
    <w:rsid w:val="00BC25A3"/>
    <w:rsid w:val="00BC3C66"/>
    <w:rsid w:val="00BC4086"/>
    <w:rsid w:val="00BC42BC"/>
    <w:rsid w:val="00BD35FB"/>
    <w:rsid w:val="00BD474E"/>
    <w:rsid w:val="00BD5646"/>
    <w:rsid w:val="00BD5898"/>
    <w:rsid w:val="00BE0B99"/>
    <w:rsid w:val="00BE1D2A"/>
    <w:rsid w:val="00BE316A"/>
    <w:rsid w:val="00BE368A"/>
    <w:rsid w:val="00BE6B01"/>
    <w:rsid w:val="00BE7C7B"/>
    <w:rsid w:val="00BF2114"/>
    <w:rsid w:val="00C01DF6"/>
    <w:rsid w:val="00C10E97"/>
    <w:rsid w:val="00C141B6"/>
    <w:rsid w:val="00C16E1F"/>
    <w:rsid w:val="00C17B0E"/>
    <w:rsid w:val="00C2163F"/>
    <w:rsid w:val="00C24F28"/>
    <w:rsid w:val="00C2606E"/>
    <w:rsid w:val="00C30776"/>
    <w:rsid w:val="00C400C6"/>
    <w:rsid w:val="00C4090E"/>
    <w:rsid w:val="00C40DF5"/>
    <w:rsid w:val="00C4121C"/>
    <w:rsid w:val="00C44550"/>
    <w:rsid w:val="00C44CB4"/>
    <w:rsid w:val="00C45C6E"/>
    <w:rsid w:val="00C50309"/>
    <w:rsid w:val="00C53F7C"/>
    <w:rsid w:val="00C546D2"/>
    <w:rsid w:val="00C55AC0"/>
    <w:rsid w:val="00C55C54"/>
    <w:rsid w:val="00C57DE8"/>
    <w:rsid w:val="00C61026"/>
    <w:rsid w:val="00C626CA"/>
    <w:rsid w:val="00C62E49"/>
    <w:rsid w:val="00C805CE"/>
    <w:rsid w:val="00C82138"/>
    <w:rsid w:val="00C821BC"/>
    <w:rsid w:val="00C85D4C"/>
    <w:rsid w:val="00C86E82"/>
    <w:rsid w:val="00C90B80"/>
    <w:rsid w:val="00C934BA"/>
    <w:rsid w:val="00C93C63"/>
    <w:rsid w:val="00C94044"/>
    <w:rsid w:val="00C94169"/>
    <w:rsid w:val="00C95272"/>
    <w:rsid w:val="00C9598C"/>
    <w:rsid w:val="00C96FD1"/>
    <w:rsid w:val="00CA12B7"/>
    <w:rsid w:val="00CA19FE"/>
    <w:rsid w:val="00CA44B0"/>
    <w:rsid w:val="00CA53F1"/>
    <w:rsid w:val="00CA64D5"/>
    <w:rsid w:val="00CB2EEA"/>
    <w:rsid w:val="00CB426A"/>
    <w:rsid w:val="00CB4743"/>
    <w:rsid w:val="00CB48F4"/>
    <w:rsid w:val="00CB712F"/>
    <w:rsid w:val="00CC09FC"/>
    <w:rsid w:val="00CC3533"/>
    <w:rsid w:val="00CC4240"/>
    <w:rsid w:val="00CC475E"/>
    <w:rsid w:val="00CC478C"/>
    <w:rsid w:val="00CD6C07"/>
    <w:rsid w:val="00CE1930"/>
    <w:rsid w:val="00CE26A6"/>
    <w:rsid w:val="00CE5592"/>
    <w:rsid w:val="00CE60D6"/>
    <w:rsid w:val="00CE659B"/>
    <w:rsid w:val="00CF65F6"/>
    <w:rsid w:val="00D01966"/>
    <w:rsid w:val="00D07E16"/>
    <w:rsid w:val="00D10DC5"/>
    <w:rsid w:val="00D1599E"/>
    <w:rsid w:val="00D1693A"/>
    <w:rsid w:val="00D20EB6"/>
    <w:rsid w:val="00D22980"/>
    <w:rsid w:val="00D30104"/>
    <w:rsid w:val="00D313E7"/>
    <w:rsid w:val="00D33458"/>
    <w:rsid w:val="00D33E41"/>
    <w:rsid w:val="00D472B2"/>
    <w:rsid w:val="00D504BE"/>
    <w:rsid w:val="00D52B8D"/>
    <w:rsid w:val="00D52D52"/>
    <w:rsid w:val="00D551B9"/>
    <w:rsid w:val="00D5574E"/>
    <w:rsid w:val="00D63042"/>
    <w:rsid w:val="00D648C2"/>
    <w:rsid w:val="00D6690C"/>
    <w:rsid w:val="00D71AE7"/>
    <w:rsid w:val="00D73009"/>
    <w:rsid w:val="00D77787"/>
    <w:rsid w:val="00D8087C"/>
    <w:rsid w:val="00D85684"/>
    <w:rsid w:val="00D91CA6"/>
    <w:rsid w:val="00D92AB8"/>
    <w:rsid w:val="00D93665"/>
    <w:rsid w:val="00D95807"/>
    <w:rsid w:val="00DA4566"/>
    <w:rsid w:val="00DA6029"/>
    <w:rsid w:val="00DB0BD3"/>
    <w:rsid w:val="00DB635B"/>
    <w:rsid w:val="00DB6714"/>
    <w:rsid w:val="00DB6990"/>
    <w:rsid w:val="00DC49C0"/>
    <w:rsid w:val="00DD2360"/>
    <w:rsid w:val="00DD657E"/>
    <w:rsid w:val="00DD6A63"/>
    <w:rsid w:val="00DE0CF9"/>
    <w:rsid w:val="00DE4C63"/>
    <w:rsid w:val="00DF14EA"/>
    <w:rsid w:val="00E04EA8"/>
    <w:rsid w:val="00E07576"/>
    <w:rsid w:val="00E15263"/>
    <w:rsid w:val="00E15BA1"/>
    <w:rsid w:val="00E20738"/>
    <w:rsid w:val="00E2240C"/>
    <w:rsid w:val="00E26369"/>
    <w:rsid w:val="00E26FD8"/>
    <w:rsid w:val="00E3109F"/>
    <w:rsid w:val="00E323CD"/>
    <w:rsid w:val="00E34924"/>
    <w:rsid w:val="00E35609"/>
    <w:rsid w:val="00E4139D"/>
    <w:rsid w:val="00E457A4"/>
    <w:rsid w:val="00E45DE6"/>
    <w:rsid w:val="00E5175D"/>
    <w:rsid w:val="00E53F26"/>
    <w:rsid w:val="00E540EE"/>
    <w:rsid w:val="00E56161"/>
    <w:rsid w:val="00E57E8A"/>
    <w:rsid w:val="00E65F0D"/>
    <w:rsid w:val="00E72AE5"/>
    <w:rsid w:val="00E74F89"/>
    <w:rsid w:val="00E766F0"/>
    <w:rsid w:val="00E77C2B"/>
    <w:rsid w:val="00E85F02"/>
    <w:rsid w:val="00E8682F"/>
    <w:rsid w:val="00E921E8"/>
    <w:rsid w:val="00E9291B"/>
    <w:rsid w:val="00E93E5C"/>
    <w:rsid w:val="00E96B78"/>
    <w:rsid w:val="00EA16D5"/>
    <w:rsid w:val="00EA41A8"/>
    <w:rsid w:val="00EA7C70"/>
    <w:rsid w:val="00EB57B8"/>
    <w:rsid w:val="00EB6333"/>
    <w:rsid w:val="00EB6C26"/>
    <w:rsid w:val="00EB7EED"/>
    <w:rsid w:val="00EB7F7A"/>
    <w:rsid w:val="00EC115E"/>
    <w:rsid w:val="00EC4205"/>
    <w:rsid w:val="00EC4BF1"/>
    <w:rsid w:val="00EC6AC4"/>
    <w:rsid w:val="00ED1A47"/>
    <w:rsid w:val="00ED1F3C"/>
    <w:rsid w:val="00ED4E9B"/>
    <w:rsid w:val="00ED58DA"/>
    <w:rsid w:val="00EE661D"/>
    <w:rsid w:val="00EE7107"/>
    <w:rsid w:val="00EF2173"/>
    <w:rsid w:val="00EF661F"/>
    <w:rsid w:val="00F01A50"/>
    <w:rsid w:val="00F034DE"/>
    <w:rsid w:val="00F04CCB"/>
    <w:rsid w:val="00F0634C"/>
    <w:rsid w:val="00F13CEF"/>
    <w:rsid w:val="00F166E6"/>
    <w:rsid w:val="00F20469"/>
    <w:rsid w:val="00F20977"/>
    <w:rsid w:val="00F315BD"/>
    <w:rsid w:val="00F31FBE"/>
    <w:rsid w:val="00F3347E"/>
    <w:rsid w:val="00F34675"/>
    <w:rsid w:val="00F34B1D"/>
    <w:rsid w:val="00F36B4B"/>
    <w:rsid w:val="00F37149"/>
    <w:rsid w:val="00F4012A"/>
    <w:rsid w:val="00F40A09"/>
    <w:rsid w:val="00F43014"/>
    <w:rsid w:val="00F44553"/>
    <w:rsid w:val="00F47479"/>
    <w:rsid w:val="00F47552"/>
    <w:rsid w:val="00F51AB3"/>
    <w:rsid w:val="00F557E2"/>
    <w:rsid w:val="00F61F5E"/>
    <w:rsid w:val="00F709E2"/>
    <w:rsid w:val="00F74B50"/>
    <w:rsid w:val="00F7788E"/>
    <w:rsid w:val="00F8646E"/>
    <w:rsid w:val="00F94A62"/>
    <w:rsid w:val="00F95BA4"/>
    <w:rsid w:val="00FA1F65"/>
    <w:rsid w:val="00FA2030"/>
    <w:rsid w:val="00FA62B1"/>
    <w:rsid w:val="00FA7B6B"/>
    <w:rsid w:val="00FB301C"/>
    <w:rsid w:val="00FB4FBF"/>
    <w:rsid w:val="00FC20A0"/>
    <w:rsid w:val="00FC51DF"/>
    <w:rsid w:val="00FD4301"/>
    <w:rsid w:val="00FD54BB"/>
    <w:rsid w:val="00FE2769"/>
    <w:rsid w:val="00FE31A2"/>
    <w:rsid w:val="00FE3900"/>
    <w:rsid w:val="00FE3A06"/>
    <w:rsid w:val="00FF0554"/>
    <w:rsid w:val="00FF10CF"/>
    <w:rsid w:val="00FF1F67"/>
    <w:rsid w:val="00FF4AFD"/>
    <w:rsid w:val="00FF5DC0"/>
    <w:rsid w:val="00FF7B63"/>
    <w:rsid w:val="0105A1AD"/>
    <w:rsid w:val="011BE05D"/>
    <w:rsid w:val="0150CFF7"/>
    <w:rsid w:val="0166CCE4"/>
    <w:rsid w:val="01706200"/>
    <w:rsid w:val="01DC5EB2"/>
    <w:rsid w:val="026F8038"/>
    <w:rsid w:val="02C4DBA1"/>
    <w:rsid w:val="03044D82"/>
    <w:rsid w:val="0344C297"/>
    <w:rsid w:val="036733A7"/>
    <w:rsid w:val="03DEE5BA"/>
    <w:rsid w:val="0466491E"/>
    <w:rsid w:val="04A187DE"/>
    <w:rsid w:val="05423A2C"/>
    <w:rsid w:val="06CB2857"/>
    <w:rsid w:val="06F7529F"/>
    <w:rsid w:val="0722A5C1"/>
    <w:rsid w:val="07C336DA"/>
    <w:rsid w:val="084BA036"/>
    <w:rsid w:val="086AF9D4"/>
    <w:rsid w:val="08EF3B66"/>
    <w:rsid w:val="095BD0A4"/>
    <w:rsid w:val="098C2825"/>
    <w:rsid w:val="09F50E11"/>
    <w:rsid w:val="0A8216D2"/>
    <w:rsid w:val="0AB92F5A"/>
    <w:rsid w:val="0AF7A105"/>
    <w:rsid w:val="0B28C81E"/>
    <w:rsid w:val="0B5328E2"/>
    <w:rsid w:val="0BBD5604"/>
    <w:rsid w:val="0D07BE68"/>
    <w:rsid w:val="0D2B10A4"/>
    <w:rsid w:val="0D3F7CCD"/>
    <w:rsid w:val="0D6ACF5F"/>
    <w:rsid w:val="0DBC470F"/>
    <w:rsid w:val="0DE0E74D"/>
    <w:rsid w:val="0E4678F1"/>
    <w:rsid w:val="0EA77703"/>
    <w:rsid w:val="0EC6E105"/>
    <w:rsid w:val="0ED875EB"/>
    <w:rsid w:val="0F34DAE3"/>
    <w:rsid w:val="0F88E3C2"/>
    <w:rsid w:val="0F96DE7E"/>
    <w:rsid w:val="0FD46385"/>
    <w:rsid w:val="101B10A0"/>
    <w:rsid w:val="121016AD"/>
    <w:rsid w:val="1275F380"/>
    <w:rsid w:val="12C37323"/>
    <w:rsid w:val="132F70C5"/>
    <w:rsid w:val="1392306E"/>
    <w:rsid w:val="13B90163"/>
    <w:rsid w:val="13DAC028"/>
    <w:rsid w:val="13FCF70A"/>
    <w:rsid w:val="146BD6FA"/>
    <w:rsid w:val="147F5656"/>
    <w:rsid w:val="1503A590"/>
    <w:rsid w:val="1564384A"/>
    <w:rsid w:val="15EF7A26"/>
    <w:rsid w:val="16E387D0"/>
    <w:rsid w:val="170E386F"/>
    <w:rsid w:val="17B3D541"/>
    <w:rsid w:val="17FC0831"/>
    <w:rsid w:val="189BD90C"/>
    <w:rsid w:val="18ACA1C3"/>
    <w:rsid w:val="18E01DDF"/>
    <w:rsid w:val="192A0987"/>
    <w:rsid w:val="195E2C3F"/>
    <w:rsid w:val="199018D3"/>
    <w:rsid w:val="19963C17"/>
    <w:rsid w:val="19DF7292"/>
    <w:rsid w:val="1A531031"/>
    <w:rsid w:val="1A644D66"/>
    <w:rsid w:val="1A78ECD4"/>
    <w:rsid w:val="1B1B5017"/>
    <w:rsid w:val="1B451191"/>
    <w:rsid w:val="1C6F57AE"/>
    <w:rsid w:val="1CB46BD9"/>
    <w:rsid w:val="1CCDDCD9"/>
    <w:rsid w:val="1D3F13F7"/>
    <w:rsid w:val="1D58EDD1"/>
    <w:rsid w:val="1D62EDCB"/>
    <w:rsid w:val="1DF723AF"/>
    <w:rsid w:val="1E630D22"/>
    <w:rsid w:val="1E881405"/>
    <w:rsid w:val="1ECD2860"/>
    <w:rsid w:val="1F6887C0"/>
    <w:rsid w:val="1F9039EB"/>
    <w:rsid w:val="1FCD6DC3"/>
    <w:rsid w:val="20CA3F3B"/>
    <w:rsid w:val="20DB7A12"/>
    <w:rsid w:val="20F8E13C"/>
    <w:rsid w:val="219B2AB8"/>
    <w:rsid w:val="21E07BB6"/>
    <w:rsid w:val="2224A8D9"/>
    <w:rsid w:val="225E2216"/>
    <w:rsid w:val="22A8DAFB"/>
    <w:rsid w:val="22CF5905"/>
    <w:rsid w:val="23538B27"/>
    <w:rsid w:val="23A98586"/>
    <w:rsid w:val="24131AD4"/>
    <w:rsid w:val="2423C8CB"/>
    <w:rsid w:val="247F113D"/>
    <w:rsid w:val="247FA361"/>
    <w:rsid w:val="2507F18D"/>
    <w:rsid w:val="25203716"/>
    <w:rsid w:val="25729E2D"/>
    <w:rsid w:val="25AEED93"/>
    <w:rsid w:val="25C68E6D"/>
    <w:rsid w:val="261AE19E"/>
    <w:rsid w:val="2657135C"/>
    <w:rsid w:val="2729F3C5"/>
    <w:rsid w:val="27319339"/>
    <w:rsid w:val="273980BF"/>
    <w:rsid w:val="27BF574B"/>
    <w:rsid w:val="27F0C70B"/>
    <w:rsid w:val="292E4B5C"/>
    <w:rsid w:val="295B27AC"/>
    <w:rsid w:val="29F95B9E"/>
    <w:rsid w:val="2A464553"/>
    <w:rsid w:val="2A628553"/>
    <w:rsid w:val="2A712181"/>
    <w:rsid w:val="2AB2A275"/>
    <w:rsid w:val="2AF0C3B9"/>
    <w:rsid w:val="2B98C8A7"/>
    <w:rsid w:val="2BE13ADE"/>
    <w:rsid w:val="2BEB2D49"/>
    <w:rsid w:val="2C0CF1E2"/>
    <w:rsid w:val="2C609AF2"/>
    <w:rsid w:val="2CA7B753"/>
    <w:rsid w:val="2D68D812"/>
    <w:rsid w:val="2D6B0EE8"/>
    <w:rsid w:val="2D7DBD33"/>
    <w:rsid w:val="2DF4A982"/>
    <w:rsid w:val="2E4387B4"/>
    <w:rsid w:val="2E79ADC0"/>
    <w:rsid w:val="2ED06969"/>
    <w:rsid w:val="2EF6DD99"/>
    <w:rsid w:val="2F25DB2E"/>
    <w:rsid w:val="2FADF9DD"/>
    <w:rsid w:val="2FD30AD4"/>
    <w:rsid w:val="306C39CA"/>
    <w:rsid w:val="3099CF4A"/>
    <w:rsid w:val="30C5BEFB"/>
    <w:rsid w:val="30D3EA6F"/>
    <w:rsid w:val="32A02342"/>
    <w:rsid w:val="32E59A9F"/>
    <w:rsid w:val="32E9AE55"/>
    <w:rsid w:val="33EDC3F0"/>
    <w:rsid w:val="341306C8"/>
    <w:rsid w:val="3427B979"/>
    <w:rsid w:val="346D0A77"/>
    <w:rsid w:val="34B33714"/>
    <w:rsid w:val="34D73799"/>
    <w:rsid w:val="34EA43F6"/>
    <w:rsid w:val="358C2B6C"/>
    <w:rsid w:val="3608DAD8"/>
    <w:rsid w:val="362D2844"/>
    <w:rsid w:val="36B64EB1"/>
    <w:rsid w:val="36BDF2BE"/>
    <w:rsid w:val="372B8545"/>
    <w:rsid w:val="37657D7F"/>
    <w:rsid w:val="37A4AB39"/>
    <w:rsid w:val="37DD689B"/>
    <w:rsid w:val="38B47FA5"/>
    <w:rsid w:val="393F3103"/>
    <w:rsid w:val="3954DC23"/>
    <w:rsid w:val="3974285B"/>
    <w:rsid w:val="397E312A"/>
    <w:rsid w:val="399B6A8E"/>
    <w:rsid w:val="39A36043"/>
    <w:rsid w:val="39D74CB5"/>
    <w:rsid w:val="3A588404"/>
    <w:rsid w:val="3A66AF78"/>
    <w:rsid w:val="3AAD5C93"/>
    <w:rsid w:val="3B1A018B"/>
    <w:rsid w:val="3B3DAB2B"/>
    <w:rsid w:val="3B59AA44"/>
    <w:rsid w:val="3B9E6DCD"/>
    <w:rsid w:val="3BE2BF3A"/>
    <w:rsid w:val="3C32CB5E"/>
    <w:rsid w:val="3C781C5C"/>
    <w:rsid w:val="3CB5D1EC"/>
    <w:rsid w:val="3CC8D0CD"/>
    <w:rsid w:val="3D0EED77"/>
    <w:rsid w:val="3D111DB5"/>
    <w:rsid w:val="3D12165D"/>
    <w:rsid w:val="3D989011"/>
    <w:rsid w:val="3DA18AE6"/>
    <w:rsid w:val="3DBEE60D"/>
    <w:rsid w:val="3E64F182"/>
    <w:rsid w:val="3EA5988E"/>
    <w:rsid w:val="3EED8108"/>
    <w:rsid w:val="3F5AB66E"/>
    <w:rsid w:val="3F943DCD"/>
    <w:rsid w:val="402F034E"/>
    <w:rsid w:val="40750488"/>
    <w:rsid w:val="40CF3D51"/>
    <w:rsid w:val="419C9244"/>
    <w:rsid w:val="41C0A090"/>
    <w:rsid w:val="41D7D640"/>
    <w:rsid w:val="41E9A7C8"/>
    <w:rsid w:val="4219122D"/>
    <w:rsid w:val="42925730"/>
    <w:rsid w:val="42F77E27"/>
    <w:rsid w:val="42FB4740"/>
    <w:rsid w:val="43566862"/>
    <w:rsid w:val="43755005"/>
    <w:rsid w:val="439BB6D5"/>
    <w:rsid w:val="43EF815C"/>
    <w:rsid w:val="43F8B20D"/>
    <w:rsid w:val="442AD82A"/>
    <w:rsid w:val="446A0468"/>
    <w:rsid w:val="44A98987"/>
    <w:rsid w:val="44ED5B63"/>
    <w:rsid w:val="45102FC3"/>
    <w:rsid w:val="4526E665"/>
    <w:rsid w:val="45C00873"/>
    <w:rsid w:val="45D4FF40"/>
    <w:rsid w:val="45F7FE89"/>
    <w:rsid w:val="4639B116"/>
    <w:rsid w:val="469CA760"/>
    <w:rsid w:val="46FE22E8"/>
    <w:rsid w:val="47827CAC"/>
    <w:rsid w:val="47E668F8"/>
    <w:rsid w:val="48503E2C"/>
    <w:rsid w:val="48595F6D"/>
    <w:rsid w:val="48779989"/>
    <w:rsid w:val="48C171BA"/>
    <w:rsid w:val="48C78485"/>
    <w:rsid w:val="498E2B78"/>
    <w:rsid w:val="49DC334A"/>
    <w:rsid w:val="4A2CA854"/>
    <w:rsid w:val="4A459A83"/>
    <w:rsid w:val="4A5AE31B"/>
    <w:rsid w:val="4B20450E"/>
    <w:rsid w:val="4B3E38FE"/>
    <w:rsid w:val="4B7803AB"/>
    <w:rsid w:val="4BA3C82E"/>
    <w:rsid w:val="4CE92D6B"/>
    <w:rsid w:val="4D98F2D2"/>
    <w:rsid w:val="4DE4BF89"/>
    <w:rsid w:val="4E0E4BDA"/>
    <w:rsid w:val="4E9DE9AC"/>
    <w:rsid w:val="4EA7B945"/>
    <w:rsid w:val="4EAFA46D"/>
    <w:rsid w:val="4ECA7FC5"/>
    <w:rsid w:val="4FE48D86"/>
    <w:rsid w:val="5145EC9C"/>
    <w:rsid w:val="517C7E93"/>
    <w:rsid w:val="51D03FA7"/>
    <w:rsid w:val="51DDA9CA"/>
    <w:rsid w:val="5225D0C7"/>
    <w:rsid w:val="52786340"/>
    <w:rsid w:val="52C01E32"/>
    <w:rsid w:val="53599EE4"/>
    <w:rsid w:val="537C9463"/>
    <w:rsid w:val="53831590"/>
    <w:rsid w:val="538DCF0D"/>
    <w:rsid w:val="539642F3"/>
    <w:rsid w:val="53EA1FE4"/>
    <w:rsid w:val="542155C3"/>
    <w:rsid w:val="5425C887"/>
    <w:rsid w:val="54B41F55"/>
    <w:rsid w:val="54B54A88"/>
    <w:rsid w:val="55311629"/>
    <w:rsid w:val="55F22CD7"/>
    <w:rsid w:val="5643043F"/>
    <w:rsid w:val="56591827"/>
    <w:rsid w:val="56A0150B"/>
    <w:rsid w:val="56D96110"/>
    <w:rsid w:val="574A94F4"/>
    <w:rsid w:val="5758F5B0"/>
    <w:rsid w:val="575D6949"/>
    <w:rsid w:val="57687D92"/>
    <w:rsid w:val="58500586"/>
    <w:rsid w:val="58E1FB7C"/>
    <w:rsid w:val="58FDE76D"/>
    <w:rsid w:val="5998D845"/>
    <w:rsid w:val="59F4CC82"/>
    <w:rsid w:val="5ACB3017"/>
    <w:rsid w:val="5B06116B"/>
    <w:rsid w:val="5B075F3F"/>
    <w:rsid w:val="5B143CDF"/>
    <w:rsid w:val="5B480D29"/>
    <w:rsid w:val="5B7AB295"/>
    <w:rsid w:val="5C061D29"/>
    <w:rsid w:val="5C07D2FC"/>
    <w:rsid w:val="5C285EA3"/>
    <w:rsid w:val="5C350496"/>
    <w:rsid w:val="5C3A8D5F"/>
    <w:rsid w:val="5C9893F8"/>
    <w:rsid w:val="5CD07907"/>
    <w:rsid w:val="5D18BCFF"/>
    <w:rsid w:val="5D5E747C"/>
    <w:rsid w:val="5DFC47D3"/>
    <w:rsid w:val="5E02D0D9"/>
    <w:rsid w:val="5E26E602"/>
    <w:rsid w:val="5E2D707B"/>
    <w:rsid w:val="5E480F91"/>
    <w:rsid w:val="5E6C4968"/>
    <w:rsid w:val="5F4C6579"/>
    <w:rsid w:val="5F6BD3AC"/>
    <w:rsid w:val="5FE26939"/>
    <w:rsid w:val="60619AF6"/>
    <w:rsid w:val="60E875AD"/>
    <w:rsid w:val="626D3CF3"/>
    <w:rsid w:val="6297352F"/>
    <w:rsid w:val="62AD2761"/>
    <w:rsid w:val="6303FC8E"/>
    <w:rsid w:val="632F1286"/>
    <w:rsid w:val="639A819A"/>
    <w:rsid w:val="63B0DC92"/>
    <w:rsid w:val="64610934"/>
    <w:rsid w:val="64A712CD"/>
    <w:rsid w:val="6544E7A6"/>
    <w:rsid w:val="65C04D35"/>
    <w:rsid w:val="65E54823"/>
    <w:rsid w:val="6620E186"/>
    <w:rsid w:val="66338658"/>
    <w:rsid w:val="66851BD7"/>
    <w:rsid w:val="66DB6C34"/>
    <w:rsid w:val="67232936"/>
    <w:rsid w:val="6738C3E9"/>
    <w:rsid w:val="67A3180D"/>
    <w:rsid w:val="67A97C74"/>
    <w:rsid w:val="67D2F2A5"/>
    <w:rsid w:val="6848FC24"/>
    <w:rsid w:val="68FFE80A"/>
    <w:rsid w:val="6A2A3434"/>
    <w:rsid w:val="6A9BB86B"/>
    <w:rsid w:val="6AB673D9"/>
    <w:rsid w:val="6AB81D26"/>
    <w:rsid w:val="6C3788CC"/>
    <w:rsid w:val="6C4BDE87"/>
    <w:rsid w:val="6C72ED84"/>
    <w:rsid w:val="6CB46E8F"/>
    <w:rsid w:val="6D403718"/>
    <w:rsid w:val="6D44B9BF"/>
    <w:rsid w:val="6D59806B"/>
    <w:rsid w:val="6DA30423"/>
    <w:rsid w:val="6DBBB5C0"/>
    <w:rsid w:val="6DFC67AF"/>
    <w:rsid w:val="6E143509"/>
    <w:rsid w:val="6EF38F39"/>
    <w:rsid w:val="6F5BCF3B"/>
    <w:rsid w:val="70262B19"/>
    <w:rsid w:val="702899D3"/>
    <w:rsid w:val="7047A4A8"/>
    <w:rsid w:val="708ABC1B"/>
    <w:rsid w:val="708F5F9A"/>
    <w:rsid w:val="70B43DD9"/>
    <w:rsid w:val="7125B55D"/>
    <w:rsid w:val="719F0BBB"/>
    <w:rsid w:val="72CB38B1"/>
    <w:rsid w:val="7397D35A"/>
    <w:rsid w:val="739E1A02"/>
    <w:rsid w:val="7423CF40"/>
    <w:rsid w:val="74459253"/>
    <w:rsid w:val="7548DEBE"/>
    <w:rsid w:val="7562D7EF"/>
    <w:rsid w:val="75BEEE82"/>
    <w:rsid w:val="75F7A160"/>
    <w:rsid w:val="774E7AC9"/>
    <w:rsid w:val="778F9671"/>
    <w:rsid w:val="77B05DA5"/>
    <w:rsid w:val="77B71280"/>
    <w:rsid w:val="7805A21F"/>
    <w:rsid w:val="789A3D1B"/>
    <w:rsid w:val="78FA8FC7"/>
    <w:rsid w:val="7902B181"/>
    <w:rsid w:val="790B94A9"/>
    <w:rsid w:val="7930C742"/>
    <w:rsid w:val="797EF7F1"/>
    <w:rsid w:val="79E9908D"/>
    <w:rsid w:val="7A3641E0"/>
    <w:rsid w:val="7ADC8AA3"/>
    <w:rsid w:val="7AE7FE67"/>
    <w:rsid w:val="7AF93B9C"/>
    <w:rsid w:val="7B32B1BC"/>
    <w:rsid w:val="7B6A8DFD"/>
    <w:rsid w:val="7BAF7522"/>
    <w:rsid w:val="7BDD345E"/>
    <w:rsid w:val="7C323089"/>
    <w:rsid w:val="7D2FB365"/>
    <w:rsid w:val="7E30DC5E"/>
    <w:rsid w:val="7E4C5C59"/>
    <w:rsid w:val="7E6D312B"/>
    <w:rsid w:val="7EDBA3C7"/>
    <w:rsid w:val="7EF59CF8"/>
    <w:rsid w:val="7F238207"/>
    <w:rsid w:val="7F49ECB6"/>
    <w:rsid w:val="7FBB6F8A"/>
    <w:rsid w:val="7FCCA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7DD6A"/>
  <w15:chartTrackingRefBased/>
  <w15:docId w15:val="{163B6A5A-0838-4D12-8AC5-F9932D4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E457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C307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77E5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E1D6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307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77E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1D6E"/>
    <w:rPr>
      <w:rFonts w:ascii="Times New Roman" w:eastAsia="Times New Roman" w:hAnsi="Times New Roman" w:cs="Times New Roman"/>
      <w:b/>
      <w:bCs/>
      <w:sz w:val="24"/>
      <w:szCs w:val="24"/>
    </w:rPr>
  </w:style>
  <w:style w:type="paragraph" w:styleId="ListParagraph">
    <w:name w:val="List Paragraph"/>
    <w:basedOn w:val="Normal"/>
    <w:uiPriority w:val="1"/>
    <w:qFormat/>
    <w:rsid w:val="001E29E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1E29E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1E29E0"/>
  </w:style>
  <w:style w:type="character" w:styleId="CommentReference">
    <w:name w:val="annotation reference"/>
    <w:basedOn w:val="DefaultParagraphFont"/>
    <w:semiHidden/>
    <w:unhideWhenUsed/>
    <w:rsid w:val="001E29E0"/>
    <w:rPr>
      <w:sz w:val="16"/>
      <w:szCs w:val="16"/>
    </w:rPr>
  </w:style>
  <w:style w:type="paragraph" w:styleId="CommentText">
    <w:name w:val="annotation text"/>
    <w:basedOn w:val="Normal"/>
    <w:link w:val="CommentTextChar"/>
    <w:uiPriority w:val="99"/>
    <w:unhideWhenUsed/>
    <w:rsid w:val="001E29E0"/>
    <w:rPr>
      <w:sz w:val="20"/>
      <w:szCs w:val="20"/>
    </w:rPr>
  </w:style>
  <w:style w:type="character" w:customStyle="1" w:styleId="CommentTextChar">
    <w:name w:val="Comment Text Char"/>
    <w:basedOn w:val="DefaultParagraphFont"/>
    <w:link w:val="CommentText"/>
    <w:uiPriority w:val="99"/>
    <w:rsid w:val="001E29E0"/>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1E29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2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9E0"/>
    <w:rPr>
      <w:color w:val="0000FF" w:themeColor="hyperlink"/>
      <w:u w:val="single"/>
    </w:rPr>
  </w:style>
  <w:style w:type="paragraph" w:styleId="BalloonText">
    <w:name w:val="Balloon Text"/>
    <w:basedOn w:val="Normal"/>
    <w:link w:val="BalloonTextChar"/>
    <w:uiPriority w:val="99"/>
    <w:semiHidden/>
    <w:unhideWhenUsed/>
    <w:rsid w:val="001E2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9E0"/>
    <w:rPr>
      <w:rFonts w:ascii="Segoe UI" w:eastAsia="Times New Roman" w:hAnsi="Segoe UI" w:cs="Segoe UI"/>
      <w:sz w:val="18"/>
      <w:szCs w:val="18"/>
    </w:rPr>
  </w:style>
  <w:style w:type="paragraph" w:styleId="Footer">
    <w:name w:val="footer"/>
    <w:basedOn w:val="Normal"/>
    <w:link w:val="FooterChar"/>
    <w:uiPriority w:val="99"/>
    <w:unhideWhenUsed/>
    <w:rsid w:val="00E5175D"/>
    <w:pPr>
      <w:tabs>
        <w:tab w:val="center" w:pos="4680"/>
        <w:tab w:val="right" w:pos="9360"/>
      </w:tabs>
    </w:pPr>
  </w:style>
  <w:style w:type="character" w:customStyle="1" w:styleId="FooterChar">
    <w:name w:val="Footer Char"/>
    <w:basedOn w:val="DefaultParagraphFont"/>
    <w:link w:val="Footer"/>
    <w:uiPriority w:val="99"/>
    <w:rsid w:val="00E5175D"/>
    <w:rPr>
      <w:rFonts w:ascii="Times New Roman" w:eastAsia="Times New Roman" w:hAnsi="Times New Roman" w:cs="Times New Roman"/>
      <w:sz w:val="24"/>
      <w:szCs w:val="24"/>
    </w:rPr>
  </w:style>
  <w:style w:type="paragraph" w:styleId="NormalWeb">
    <w:name w:val="Normal (Web)"/>
    <w:basedOn w:val="Normal"/>
    <w:uiPriority w:val="99"/>
    <w:unhideWhenUsed/>
    <w:qFormat/>
    <w:rsid w:val="00645965"/>
    <w:rPr>
      <w:rFonts w:eastAsiaTheme="minorHAnsi"/>
    </w:rPr>
  </w:style>
  <w:style w:type="character" w:styleId="PageNumber">
    <w:name w:val="page number"/>
    <w:basedOn w:val="DefaultParagraphFont"/>
    <w:uiPriority w:val="99"/>
    <w:unhideWhenUsed/>
    <w:rsid w:val="000B47CA"/>
  </w:style>
  <w:style w:type="character" w:customStyle="1" w:styleId="apple-converted-space">
    <w:name w:val="apple-converted-space"/>
    <w:basedOn w:val="DefaultParagraphFont"/>
    <w:rsid w:val="000B47CA"/>
  </w:style>
  <w:style w:type="character" w:styleId="Strong">
    <w:name w:val="Strong"/>
    <w:basedOn w:val="DefaultParagraphFont"/>
    <w:uiPriority w:val="22"/>
    <w:qFormat/>
    <w:rsid w:val="000B47CA"/>
    <w:rPr>
      <w:b/>
      <w:bCs/>
    </w:rPr>
  </w:style>
  <w:style w:type="character" w:customStyle="1" w:styleId="UnresolvedMention1">
    <w:name w:val="Unresolved Mention1"/>
    <w:basedOn w:val="DefaultParagraphFont"/>
    <w:uiPriority w:val="99"/>
    <w:semiHidden/>
    <w:unhideWhenUsed/>
    <w:rsid w:val="000B47CA"/>
    <w:rPr>
      <w:color w:val="605E5C"/>
      <w:shd w:val="clear" w:color="auto" w:fill="E1DFDD"/>
    </w:rPr>
  </w:style>
  <w:style w:type="character" w:styleId="FollowedHyperlink">
    <w:name w:val="FollowedHyperlink"/>
    <w:basedOn w:val="DefaultParagraphFont"/>
    <w:uiPriority w:val="99"/>
    <w:semiHidden/>
    <w:unhideWhenUsed/>
    <w:rsid w:val="000B47CA"/>
    <w:rPr>
      <w:color w:val="800080" w:themeColor="followedHyperlink"/>
      <w:u w:val="single"/>
    </w:rPr>
  </w:style>
  <w:style w:type="paragraph" w:customStyle="1" w:styleId="xmsonormal">
    <w:name w:val="x_msonormal"/>
    <w:basedOn w:val="Normal"/>
    <w:rsid w:val="000B47CA"/>
    <w:pPr>
      <w:spacing w:before="100" w:beforeAutospacing="1" w:after="100" w:afterAutospacing="1"/>
    </w:pPr>
  </w:style>
  <w:style w:type="character" w:customStyle="1" w:styleId="UnresolvedMention2">
    <w:name w:val="Unresolved Mention2"/>
    <w:basedOn w:val="DefaultParagraphFont"/>
    <w:uiPriority w:val="99"/>
    <w:semiHidden/>
    <w:unhideWhenUsed/>
    <w:rsid w:val="000B47C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B47C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B47CA"/>
    <w:rPr>
      <w:rFonts w:ascii="Times New Roman" w:eastAsiaTheme="minorEastAsia" w:hAnsi="Times New Roman" w:cs="Times New Roman"/>
      <w:b/>
      <w:bCs/>
      <w:sz w:val="20"/>
      <w:szCs w:val="20"/>
    </w:rPr>
  </w:style>
  <w:style w:type="paragraph" w:customStyle="1" w:styleId="xmsolistparagraph">
    <w:name w:val="x_msolistparagraph"/>
    <w:basedOn w:val="Normal"/>
    <w:rsid w:val="000B47CA"/>
    <w:pPr>
      <w:spacing w:before="100" w:beforeAutospacing="1" w:after="100" w:afterAutospacing="1"/>
    </w:pPr>
  </w:style>
  <w:style w:type="paragraph" w:customStyle="1" w:styleId="DecimalAligned">
    <w:name w:val="Decimal Aligned"/>
    <w:basedOn w:val="Normal"/>
    <w:uiPriority w:val="40"/>
    <w:qFormat/>
    <w:rsid w:val="000B47CA"/>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0B47CA"/>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0B47CA"/>
    <w:rPr>
      <w:rFonts w:eastAsiaTheme="minorEastAsia" w:cs="Times New Roman"/>
      <w:sz w:val="20"/>
      <w:szCs w:val="20"/>
    </w:rPr>
  </w:style>
  <w:style w:type="character" w:styleId="SubtleEmphasis">
    <w:name w:val="Subtle Emphasis"/>
    <w:basedOn w:val="DefaultParagraphFont"/>
    <w:uiPriority w:val="19"/>
    <w:qFormat/>
    <w:rsid w:val="000B47CA"/>
    <w:rPr>
      <w:i/>
      <w:iCs/>
    </w:rPr>
  </w:style>
  <w:style w:type="table" w:styleId="LightShading-Accent1">
    <w:name w:val="Light Shading Accent 1"/>
    <w:basedOn w:val="TableNormal"/>
    <w:uiPriority w:val="60"/>
    <w:rsid w:val="000B47CA"/>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itation">
    <w:name w:val="citation"/>
    <w:basedOn w:val="Normal"/>
    <w:rsid w:val="000B47CA"/>
    <w:pPr>
      <w:spacing w:before="100" w:beforeAutospacing="1" w:after="100" w:afterAutospacing="1"/>
    </w:pPr>
  </w:style>
  <w:style w:type="character" w:customStyle="1" w:styleId="citation-doi">
    <w:name w:val="citation-doi"/>
    <w:basedOn w:val="DefaultParagraphFont"/>
    <w:rsid w:val="00AE1D6E"/>
  </w:style>
  <w:style w:type="paragraph" w:customStyle="1" w:styleId="Default">
    <w:name w:val="Default"/>
    <w:rsid w:val="00AE1D6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No Indent"/>
    <w:link w:val="NoSpacingChar"/>
    <w:uiPriority w:val="1"/>
    <w:qFormat/>
    <w:rsid w:val="00FB301C"/>
    <w:pPr>
      <w:spacing w:after="0" w:line="240" w:lineRule="auto"/>
    </w:pPr>
    <w:rPr>
      <w:rFonts w:ascii="Arial" w:hAnsi="Arial"/>
      <w:lang w:val="en-GB"/>
    </w:rPr>
  </w:style>
  <w:style w:type="character" w:customStyle="1" w:styleId="NoSpacingChar">
    <w:name w:val="No Spacing Char"/>
    <w:aliases w:val="No Indent Char"/>
    <w:basedOn w:val="DefaultParagraphFont"/>
    <w:link w:val="NoSpacing"/>
    <w:uiPriority w:val="1"/>
    <w:rsid w:val="00FB301C"/>
    <w:rPr>
      <w:rFonts w:ascii="Arial" w:hAnsi="Arial"/>
      <w:lang w:val="en-GB"/>
    </w:rPr>
  </w:style>
  <w:style w:type="character" w:styleId="Emphasis">
    <w:name w:val="Emphasis"/>
    <w:basedOn w:val="DefaultParagraphFont"/>
    <w:uiPriority w:val="20"/>
    <w:qFormat/>
    <w:rsid w:val="00FB301C"/>
    <w:rPr>
      <w:i/>
      <w:iCs/>
    </w:rPr>
  </w:style>
  <w:style w:type="character" w:customStyle="1" w:styleId="nlmarticle-title">
    <w:name w:val="nlm_article-title"/>
    <w:basedOn w:val="DefaultParagraphFont"/>
    <w:rsid w:val="00FB301C"/>
  </w:style>
  <w:style w:type="character" w:customStyle="1" w:styleId="nlmfpage">
    <w:name w:val="nlm_fpage"/>
    <w:basedOn w:val="DefaultParagraphFont"/>
    <w:rsid w:val="00FB301C"/>
  </w:style>
  <w:style w:type="character" w:customStyle="1" w:styleId="nlmlpage">
    <w:name w:val="nlm_lpage"/>
    <w:basedOn w:val="DefaultParagraphFont"/>
    <w:rsid w:val="00FB301C"/>
  </w:style>
  <w:style w:type="character" w:customStyle="1" w:styleId="ref-journal">
    <w:name w:val="ref-journal"/>
    <w:basedOn w:val="DefaultParagraphFont"/>
    <w:rsid w:val="00FB301C"/>
  </w:style>
  <w:style w:type="character" w:customStyle="1" w:styleId="ref-vol">
    <w:name w:val="ref-vol"/>
    <w:basedOn w:val="DefaultParagraphFont"/>
    <w:rsid w:val="00FB301C"/>
  </w:style>
  <w:style w:type="character" w:customStyle="1" w:styleId="authors">
    <w:name w:val="authors"/>
    <w:basedOn w:val="DefaultParagraphFont"/>
    <w:rsid w:val="00FB301C"/>
  </w:style>
  <w:style w:type="character" w:customStyle="1" w:styleId="Date1">
    <w:name w:val="Date1"/>
    <w:basedOn w:val="DefaultParagraphFont"/>
    <w:rsid w:val="00FB301C"/>
  </w:style>
  <w:style w:type="character" w:customStyle="1" w:styleId="arttitle">
    <w:name w:val="art_title"/>
    <w:basedOn w:val="DefaultParagraphFont"/>
    <w:rsid w:val="00FB301C"/>
  </w:style>
  <w:style w:type="character" w:customStyle="1" w:styleId="serialtitle">
    <w:name w:val="serial_title"/>
    <w:basedOn w:val="DefaultParagraphFont"/>
    <w:rsid w:val="00FB301C"/>
  </w:style>
  <w:style w:type="character" w:customStyle="1" w:styleId="volumeissue">
    <w:name w:val="volume_issue"/>
    <w:basedOn w:val="DefaultParagraphFont"/>
    <w:rsid w:val="00FB301C"/>
  </w:style>
  <w:style w:type="character" w:customStyle="1" w:styleId="pagerange">
    <w:name w:val="page_range"/>
    <w:basedOn w:val="DefaultParagraphFont"/>
    <w:rsid w:val="00FB301C"/>
  </w:style>
  <w:style w:type="character" w:customStyle="1" w:styleId="doilink">
    <w:name w:val="doi_link"/>
    <w:basedOn w:val="DefaultParagraphFont"/>
    <w:rsid w:val="00FB301C"/>
  </w:style>
  <w:style w:type="character" w:customStyle="1" w:styleId="referencesnote">
    <w:name w:val="references__note"/>
    <w:basedOn w:val="DefaultParagraphFont"/>
    <w:rsid w:val="00FB301C"/>
  </w:style>
  <w:style w:type="character" w:customStyle="1" w:styleId="referencesauthors">
    <w:name w:val="references__authors"/>
    <w:basedOn w:val="DefaultParagraphFont"/>
    <w:rsid w:val="00FB301C"/>
  </w:style>
  <w:style w:type="character" w:customStyle="1" w:styleId="referencesauthorsothers">
    <w:name w:val="references__authors__others"/>
    <w:basedOn w:val="DefaultParagraphFont"/>
    <w:rsid w:val="00FB301C"/>
  </w:style>
  <w:style w:type="character" w:customStyle="1" w:styleId="referencesarticle-title">
    <w:name w:val="references__article-title"/>
    <w:basedOn w:val="DefaultParagraphFont"/>
    <w:rsid w:val="00FB301C"/>
  </w:style>
  <w:style w:type="character" w:customStyle="1" w:styleId="referencesyear">
    <w:name w:val="references__year"/>
    <w:basedOn w:val="DefaultParagraphFont"/>
    <w:rsid w:val="00FB301C"/>
  </w:style>
  <w:style w:type="character" w:customStyle="1" w:styleId="SCHEproposaltextChar">
    <w:name w:val="SCHE proposal text Char"/>
    <w:link w:val="SCHEproposaltext"/>
    <w:locked/>
    <w:rsid w:val="00FB301C"/>
    <w:rPr>
      <w:rFonts w:ascii="Times New Roman" w:eastAsia="Times New Roman" w:hAnsi="Times New Roman" w:cstheme="minorHAnsi"/>
      <w:spacing w:val="-2"/>
      <w:kern w:val="16"/>
      <w:lang w:eastAsia="en-GB"/>
    </w:rPr>
  </w:style>
  <w:style w:type="paragraph" w:customStyle="1" w:styleId="SCHEproposaltext">
    <w:name w:val="SCHE proposal text"/>
    <w:basedOn w:val="Normal"/>
    <w:link w:val="SCHEproposaltextChar"/>
    <w:qFormat/>
    <w:rsid w:val="00FB301C"/>
    <w:pPr>
      <w:widowControl w:val="0"/>
      <w:snapToGrid w:val="0"/>
      <w:spacing w:line="360" w:lineRule="auto"/>
    </w:pPr>
    <w:rPr>
      <w:rFonts w:cstheme="minorHAnsi"/>
      <w:spacing w:val="-2"/>
      <w:kern w:val="16"/>
      <w:sz w:val="22"/>
      <w:szCs w:val="22"/>
      <w:lang w:eastAsia="en-GB"/>
    </w:rPr>
  </w:style>
  <w:style w:type="character" w:customStyle="1" w:styleId="nlmstring-name">
    <w:name w:val="nlm_string-name"/>
    <w:basedOn w:val="DefaultParagraphFont"/>
    <w:rsid w:val="00FB301C"/>
  </w:style>
  <w:style w:type="character" w:customStyle="1" w:styleId="journalname">
    <w:name w:val="journalname"/>
    <w:basedOn w:val="DefaultParagraphFont"/>
    <w:rsid w:val="00FB301C"/>
  </w:style>
  <w:style w:type="character" w:customStyle="1" w:styleId="year">
    <w:name w:val="year"/>
    <w:basedOn w:val="DefaultParagraphFont"/>
    <w:rsid w:val="00FB301C"/>
  </w:style>
  <w:style w:type="character" w:customStyle="1" w:styleId="volume">
    <w:name w:val="volume"/>
    <w:basedOn w:val="DefaultParagraphFont"/>
    <w:rsid w:val="00FB301C"/>
  </w:style>
  <w:style w:type="character" w:customStyle="1" w:styleId="issue">
    <w:name w:val="issue"/>
    <w:basedOn w:val="DefaultParagraphFont"/>
    <w:rsid w:val="00FB301C"/>
  </w:style>
  <w:style w:type="character" w:customStyle="1" w:styleId="page">
    <w:name w:val="page"/>
    <w:basedOn w:val="DefaultParagraphFont"/>
    <w:rsid w:val="00FB301C"/>
  </w:style>
  <w:style w:type="character" w:customStyle="1" w:styleId="author">
    <w:name w:val="author"/>
    <w:basedOn w:val="DefaultParagraphFont"/>
    <w:rsid w:val="00FB301C"/>
  </w:style>
  <w:style w:type="character" w:customStyle="1" w:styleId="articletitle">
    <w:name w:val="articletitle"/>
    <w:basedOn w:val="DefaultParagraphFont"/>
    <w:rsid w:val="00FB301C"/>
  </w:style>
  <w:style w:type="character" w:customStyle="1" w:styleId="titleauthoretc">
    <w:name w:val="titleauthoretc"/>
    <w:basedOn w:val="DefaultParagraphFont"/>
    <w:rsid w:val="00747B9E"/>
  </w:style>
  <w:style w:type="paragraph" w:customStyle="1" w:styleId="a">
    <w:name w:val="바탕글"/>
    <w:link w:val="Char"/>
    <w:rsid w:val="00AD42A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hAnsi="Malgun Gothic" w:cs="Times New Roman"/>
      <w:color w:val="000000"/>
      <w:kern w:val="2"/>
      <w:sz w:val="20"/>
      <w:shd w:val="clear" w:color="000000" w:fill="auto"/>
      <w:lang w:eastAsia="ko-KR"/>
    </w:rPr>
  </w:style>
  <w:style w:type="character" w:customStyle="1" w:styleId="Char">
    <w:name w:val="바탕글 Char"/>
    <w:link w:val="a"/>
    <w:rsid w:val="00AD42A8"/>
    <w:rPr>
      <w:rFonts w:ascii="함초롬바탕" w:eastAsia="함초롬바탕" w:hAnsi="Malgun Gothic" w:cs="Times New Roman"/>
      <w:color w:val="000000"/>
      <w:kern w:val="2"/>
      <w:sz w:val="20"/>
      <w:lang w:eastAsia="ko-KR"/>
    </w:rPr>
  </w:style>
  <w:style w:type="paragraph" w:customStyle="1" w:styleId="EndNoteBibliography">
    <w:name w:val="EndNote Bibliography"/>
    <w:basedOn w:val="Normal"/>
    <w:link w:val="EndNoteBibliographyChar"/>
    <w:rsid w:val="00AD42A8"/>
    <w:pPr>
      <w:widowControl w:val="0"/>
      <w:wordWrap w:val="0"/>
      <w:autoSpaceDE w:val="0"/>
      <w:autoSpaceDN w:val="0"/>
      <w:spacing w:after="160"/>
      <w:jc w:val="both"/>
    </w:pPr>
    <w:rPr>
      <w:rFonts w:ascii="Malgun Gothic" w:eastAsia="Malgun Gothic" w:hAnsi="Malgun Gothic"/>
      <w:noProof/>
      <w:kern w:val="2"/>
      <w:sz w:val="20"/>
      <w:szCs w:val="22"/>
      <w:lang w:eastAsia="ko-KR"/>
    </w:rPr>
  </w:style>
  <w:style w:type="character" w:customStyle="1" w:styleId="EndNoteBibliographyChar">
    <w:name w:val="EndNote Bibliography Char"/>
    <w:link w:val="EndNoteBibliography"/>
    <w:rsid w:val="00AD42A8"/>
    <w:rPr>
      <w:rFonts w:ascii="Malgun Gothic" w:eastAsia="Malgun Gothic" w:hAnsi="Malgun Gothic" w:cs="Times New Roman"/>
      <w:noProof/>
      <w:kern w:val="2"/>
      <w:sz w:val="20"/>
      <w:lang w:eastAsia="ko-KR"/>
    </w:rPr>
  </w:style>
  <w:style w:type="paragraph" w:customStyle="1" w:styleId="WW-Default">
    <w:name w:val="WW-Default"/>
    <w:rsid w:val="00C30776"/>
    <w:pPr>
      <w:widowControl w:val="0"/>
      <w:suppressAutoHyphens/>
      <w:autoSpaceDE w:val="0"/>
      <w:spacing w:after="0" w:line="240" w:lineRule="auto"/>
    </w:pPr>
    <w:rPr>
      <w:rFonts w:ascii="Arial" w:eastAsia="Arial" w:hAnsi="Arial" w:cs="Arial"/>
      <w:color w:val="000000"/>
      <w:sz w:val="24"/>
      <w:szCs w:val="24"/>
      <w:lang w:eastAsia="ar-SA"/>
    </w:rPr>
  </w:style>
  <w:style w:type="character" w:customStyle="1" w:styleId="journaltitle">
    <w:name w:val="journaltitle"/>
    <w:basedOn w:val="DefaultParagraphFont"/>
    <w:rsid w:val="00C30776"/>
  </w:style>
  <w:style w:type="character" w:customStyle="1" w:styleId="articlecitationvolume">
    <w:name w:val="articlecitation_volume"/>
    <w:basedOn w:val="DefaultParagraphFont"/>
    <w:rsid w:val="00C30776"/>
  </w:style>
  <w:style w:type="character" w:customStyle="1" w:styleId="citation-publication-date">
    <w:name w:val="citation-publication-date"/>
    <w:basedOn w:val="DefaultParagraphFont"/>
    <w:rsid w:val="00C30776"/>
  </w:style>
  <w:style w:type="character" w:customStyle="1" w:styleId="doi">
    <w:name w:val="doi"/>
    <w:basedOn w:val="DefaultParagraphFont"/>
    <w:rsid w:val="00C30776"/>
  </w:style>
  <w:style w:type="paragraph" w:styleId="BodyText">
    <w:name w:val="Body Text"/>
    <w:basedOn w:val="Normal"/>
    <w:link w:val="BodyTextChar"/>
    <w:uiPriority w:val="1"/>
    <w:qFormat/>
    <w:rsid w:val="00005CA8"/>
    <w:pPr>
      <w:widowControl w:val="0"/>
      <w:autoSpaceDE w:val="0"/>
      <w:autoSpaceDN w:val="0"/>
    </w:pPr>
    <w:rPr>
      <w:lang w:bidi="en-US"/>
    </w:rPr>
  </w:style>
  <w:style w:type="character" w:customStyle="1" w:styleId="BodyTextChar">
    <w:name w:val="Body Text Char"/>
    <w:basedOn w:val="DefaultParagraphFont"/>
    <w:link w:val="BodyText"/>
    <w:uiPriority w:val="99"/>
    <w:rsid w:val="00005CA8"/>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005CA8"/>
    <w:pPr>
      <w:widowControl w:val="0"/>
      <w:autoSpaceDE w:val="0"/>
      <w:autoSpaceDN w:val="0"/>
      <w:ind w:left="122"/>
    </w:pPr>
    <w:rPr>
      <w:sz w:val="22"/>
      <w:szCs w:val="22"/>
      <w:lang w:bidi="en-US"/>
    </w:rPr>
  </w:style>
  <w:style w:type="character" w:customStyle="1" w:styleId="sro">
    <w:name w:val="sro"/>
    <w:basedOn w:val="DefaultParagraphFont"/>
    <w:rsid w:val="001F7520"/>
  </w:style>
  <w:style w:type="paragraph" w:styleId="PlainText">
    <w:name w:val="Plain Text"/>
    <w:basedOn w:val="Normal"/>
    <w:link w:val="PlainTextChar1"/>
    <w:uiPriority w:val="99"/>
    <w:rsid w:val="00E77C2B"/>
    <w:rPr>
      <w:rFonts w:ascii="Consolas" w:hAnsi="Consolas"/>
      <w:sz w:val="21"/>
      <w:szCs w:val="21"/>
    </w:rPr>
  </w:style>
  <w:style w:type="character" w:customStyle="1" w:styleId="PlainTextChar1">
    <w:name w:val="Plain Text Char1"/>
    <w:link w:val="PlainText"/>
    <w:uiPriority w:val="99"/>
    <w:locked/>
    <w:rsid w:val="00E77C2B"/>
    <w:rPr>
      <w:rFonts w:ascii="Consolas" w:eastAsia="Times New Roman" w:hAnsi="Consolas" w:cs="Times New Roman"/>
      <w:sz w:val="21"/>
      <w:szCs w:val="21"/>
    </w:rPr>
  </w:style>
  <w:style w:type="character" w:customStyle="1" w:styleId="PlainTextChar">
    <w:name w:val="Plain Text Char"/>
    <w:basedOn w:val="DefaultParagraphFont"/>
    <w:uiPriority w:val="99"/>
    <w:semiHidden/>
    <w:rsid w:val="00E77C2B"/>
    <w:rPr>
      <w:rFonts w:ascii="Consolas" w:eastAsia="Times New Roman" w:hAnsi="Consolas" w:cs="Times New Roman"/>
      <w:sz w:val="21"/>
      <w:szCs w:val="21"/>
    </w:rPr>
  </w:style>
  <w:style w:type="paragraph" w:customStyle="1" w:styleId="APACenteredText">
    <w:name w:val="APACenteredText"/>
    <w:basedOn w:val="Normal"/>
    <w:qFormat/>
    <w:rsid w:val="00E77C2B"/>
    <w:pPr>
      <w:spacing w:line="480" w:lineRule="auto"/>
      <w:jc w:val="center"/>
    </w:pPr>
    <w:rPr>
      <w:rFonts w:eastAsiaTheme="minorHAnsi" w:cstheme="minorBidi"/>
      <w:szCs w:val="22"/>
    </w:rPr>
  </w:style>
  <w:style w:type="paragraph" w:customStyle="1" w:styleId="References">
    <w:name w:val="References"/>
    <w:basedOn w:val="Normal"/>
    <w:qFormat/>
    <w:rsid w:val="00E77C2B"/>
    <w:pPr>
      <w:spacing w:line="480" w:lineRule="auto"/>
      <w:ind w:left="720" w:hanging="720"/>
    </w:pPr>
    <w:rPr>
      <w:rFonts w:eastAsiaTheme="minorHAnsi" w:cstheme="minorBidi"/>
      <w:szCs w:val="22"/>
    </w:rPr>
  </w:style>
  <w:style w:type="character" w:customStyle="1" w:styleId="url">
    <w:name w:val="url"/>
    <w:basedOn w:val="DefaultParagraphFont"/>
    <w:rsid w:val="00E77C2B"/>
  </w:style>
  <w:style w:type="paragraph" w:customStyle="1" w:styleId="APAHeading1">
    <w:name w:val="APAHeading1"/>
    <w:basedOn w:val="APACenteredText"/>
    <w:next w:val="APABody"/>
    <w:qFormat/>
    <w:rsid w:val="00E77C2B"/>
    <w:rPr>
      <w:b/>
    </w:rPr>
  </w:style>
  <w:style w:type="paragraph" w:customStyle="1" w:styleId="APABody">
    <w:name w:val="APABody"/>
    <w:basedOn w:val="Normal"/>
    <w:uiPriority w:val="99"/>
    <w:qFormat/>
    <w:rsid w:val="00E77C2B"/>
    <w:pPr>
      <w:spacing w:line="480" w:lineRule="auto"/>
      <w:ind w:firstLine="720"/>
    </w:pPr>
    <w:rPr>
      <w:rFonts w:eastAsiaTheme="minorHAnsi" w:cstheme="minorBidi"/>
      <w:szCs w:val="22"/>
    </w:rPr>
  </w:style>
  <w:style w:type="paragraph" w:customStyle="1" w:styleId="smallgrey">
    <w:name w:val="smallgrey"/>
    <w:basedOn w:val="Normal"/>
    <w:rsid w:val="00FF4AFD"/>
    <w:pPr>
      <w:spacing w:before="100" w:beforeAutospacing="1" w:after="100" w:afterAutospacing="1"/>
    </w:pPr>
    <w:rPr>
      <w:rFonts w:ascii="Times" w:eastAsiaTheme="minorEastAsia" w:hAnsi="Times"/>
      <w:sz w:val="20"/>
      <w:szCs w:val="20"/>
    </w:rPr>
  </w:style>
  <w:style w:type="paragraph" w:customStyle="1" w:styleId="APA">
    <w:name w:val="APA"/>
    <w:basedOn w:val="BodyText"/>
    <w:link w:val="APAChar"/>
    <w:qFormat/>
    <w:rsid w:val="00866672"/>
    <w:pPr>
      <w:widowControl/>
      <w:overflowPunct w:val="0"/>
      <w:adjustRightInd w:val="0"/>
      <w:spacing w:line="480" w:lineRule="auto"/>
      <w:ind w:firstLine="720"/>
    </w:pPr>
    <w:rPr>
      <w:szCs w:val="20"/>
      <w:lang w:bidi="ar-SA"/>
    </w:rPr>
  </w:style>
  <w:style w:type="character" w:customStyle="1" w:styleId="APAChar">
    <w:name w:val="APA Char"/>
    <w:basedOn w:val="BodyTextChar"/>
    <w:link w:val="APA"/>
    <w:rsid w:val="003D173D"/>
    <w:rPr>
      <w:rFonts w:ascii="Times New Roman" w:eastAsia="Times New Roman" w:hAnsi="Times New Roman" w:cs="Times New Roman"/>
      <w:sz w:val="24"/>
      <w:szCs w:val="20"/>
      <w:lang w:bidi="en-US"/>
    </w:rPr>
  </w:style>
  <w:style w:type="paragraph" w:customStyle="1" w:styleId="APAReference">
    <w:name w:val="APA Reference"/>
    <w:basedOn w:val="Normal"/>
    <w:qFormat/>
    <w:rsid w:val="00F94A62"/>
    <w:pPr>
      <w:overflowPunct w:val="0"/>
      <w:autoSpaceDE w:val="0"/>
      <w:autoSpaceDN w:val="0"/>
      <w:adjustRightInd w:val="0"/>
      <w:spacing w:line="480" w:lineRule="auto"/>
      <w:ind w:left="720" w:hanging="720"/>
      <w:textAlignment w:val="baseline"/>
    </w:pPr>
    <w:rPr>
      <w:szCs w:val="20"/>
    </w:rPr>
  </w:style>
  <w:style w:type="paragraph" w:customStyle="1" w:styleId="Articletitle0">
    <w:name w:val="Article title"/>
    <w:basedOn w:val="Normal"/>
    <w:next w:val="Normal"/>
    <w:qFormat/>
    <w:rsid w:val="005D6147"/>
    <w:pPr>
      <w:spacing w:after="120" w:line="360" w:lineRule="auto"/>
    </w:pPr>
    <w:rPr>
      <w:b/>
      <w:sz w:val="28"/>
      <w:lang w:val="en-GB" w:eastAsia="en-GB"/>
    </w:rPr>
  </w:style>
  <w:style w:type="paragraph" w:customStyle="1" w:styleId="Authornames">
    <w:name w:val="Author names"/>
    <w:basedOn w:val="Normal"/>
    <w:next w:val="Normal"/>
    <w:qFormat/>
    <w:rsid w:val="005D6147"/>
    <w:pPr>
      <w:spacing w:before="240" w:line="360" w:lineRule="auto"/>
    </w:pPr>
    <w:rPr>
      <w:sz w:val="28"/>
      <w:lang w:val="en-GB" w:eastAsia="en-GB"/>
    </w:rPr>
  </w:style>
  <w:style w:type="paragraph" w:customStyle="1" w:styleId="Affiliation">
    <w:name w:val="Affiliation"/>
    <w:basedOn w:val="Normal"/>
    <w:qFormat/>
    <w:rsid w:val="005D6147"/>
    <w:pPr>
      <w:spacing w:before="240" w:line="360" w:lineRule="auto"/>
    </w:pPr>
    <w:rPr>
      <w:i/>
      <w:lang w:val="en-GB" w:eastAsia="en-GB"/>
    </w:rPr>
  </w:style>
  <w:style w:type="paragraph" w:customStyle="1" w:styleId="Correspondencedetails">
    <w:name w:val="Correspondence details"/>
    <w:basedOn w:val="Normal"/>
    <w:qFormat/>
    <w:rsid w:val="005D6147"/>
    <w:pPr>
      <w:spacing w:before="240" w:line="360" w:lineRule="auto"/>
    </w:pPr>
    <w:rPr>
      <w:lang w:val="en-GB" w:eastAsia="en-GB"/>
    </w:rPr>
  </w:style>
  <w:style w:type="paragraph" w:customStyle="1" w:styleId="Paragraph">
    <w:name w:val="Paragraph"/>
    <w:basedOn w:val="Normal"/>
    <w:next w:val="Normal"/>
    <w:qFormat/>
    <w:rsid w:val="005D6147"/>
    <w:pPr>
      <w:widowControl w:val="0"/>
      <w:spacing w:before="240" w:line="480" w:lineRule="auto"/>
    </w:pPr>
    <w:rPr>
      <w:lang w:val="en-GB" w:eastAsia="en-GB"/>
    </w:rPr>
  </w:style>
  <w:style w:type="paragraph" w:customStyle="1" w:styleId="Body">
    <w:name w:val="Body"/>
    <w:rsid w:val="005D6147"/>
    <w:pPr>
      <w:pBdr>
        <w:top w:val="nil"/>
        <w:left w:val="nil"/>
        <w:bottom w:val="nil"/>
        <w:right w:val="nil"/>
        <w:between w:val="nil"/>
        <w:bar w:val="nil"/>
      </w:pBdr>
      <w:spacing w:after="160" w:line="288" w:lineRule="auto"/>
      <w:ind w:left="2160"/>
    </w:pPr>
    <w:rPr>
      <w:rFonts w:ascii="Calibri" w:eastAsia="Calibri" w:hAnsi="Calibri" w:cs="Calibri"/>
      <w:color w:val="5A5A5A"/>
      <w:sz w:val="20"/>
      <w:szCs w:val="20"/>
      <w:u w:color="5A5A5A"/>
      <w:bdr w:val="nil"/>
    </w:rPr>
  </w:style>
  <w:style w:type="character" w:customStyle="1" w:styleId="Hyperlink0">
    <w:name w:val="Hyperlink.0"/>
    <w:basedOn w:val="DefaultParagraphFont"/>
    <w:rsid w:val="005D6147"/>
    <w:rPr>
      <w:rFonts w:ascii="Times New Roman" w:eastAsia="Times New Roman" w:hAnsi="Times New Roman" w:cs="Times New Roman"/>
      <w:color w:val="0563C1"/>
      <w:u w:val="single" w:color="0563C1"/>
    </w:rPr>
  </w:style>
  <w:style w:type="paragraph" w:customStyle="1" w:styleId="p1">
    <w:name w:val="p1"/>
    <w:basedOn w:val="Normal"/>
    <w:rsid w:val="00193EEF"/>
    <w:rPr>
      <w:rFonts w:ascii="Helvetica" w:eastAsiaTheme="minorHAnsi" w:hAnsi="Helvetica"/>
      <w:sz w:val="14"/>
      <w:szCs w:val="14"/>
    </w:rPr>
  </w:style>
  <w:style w:type="paragraph" w:customStyle="1" w:styleId="font7">
    <w:name w:val="font_7"/>
    <w:basedOn w:val="Normal"/>
    <w:rsid w:val="00193EEF"/>
    <w:pPr>
      <w:spacing w:before="100" w:beforeAutospacing="1" w:after="100" w:afterAutospacing="1"/>
    </w:pPr>
  </w:style>
  <w:style w:type="character" w:customStyle="1" w:styleId="InternetLink">
    <w:name w:val="Internet Link"/>
    <w:rsid w:val="00193EEF"/>
    <w:rPr>
      <w:color w:val="000080"/>
      <w:u w:val="single"/>
    </w:rPr>
  </w:style>
  <w:style w:type="character" w:customStyle="1" w:styleId="nlmyear">
    <w:name w:val="nlm_year"/>
    <w:basedOn w:val="DefaultParagraphFont"/>
    <w:rsid w:val="00193EEF"/>
  </w:style>
  <w:style w:type="paragraph" w:customStyle="1" w:styleId="body-paragraph4">
    <w:name w:val="body-paragraph4"/>
    <w:basedOn w:val="Normal"/>
    <w:rsid w:val="00193EEF"/>
    <w:pPr>
      <w:spacing w:before="100" w:beforeAutospacing="1" w:after="100" w:afterAutospacing="1"/>
      <w:ind w:left="2820" w:hanging="600"/>
    </w:pPr>
  </w:style>
  <w:style w:type="character" w:customStyle="1" w:styleId="id-label">
    <w:name w:val="id-label"/>
    <w:basedOn w:val="DefaultParagraphFont"/>
    <w:rsid w:val="00B35CEC"/>
  </w:style>
  <w:style w:type="character" w:customStyle="1" w:styleId="doilabel">
    <w:name w:val="doi__label"/>
    <w:basedOn w:val="DefaultParagraphFont"/>
    <w:rsid w:val="00B35CEC"/>
  </w:style>
  <w:style w:type="character" w:customStyle="1" w:styleId="A1">
    <w:name w:val="A1"/>
    <w:uiPriority w:val="99"/>
    <w:rsid w:val="003E1B01"/>
    <w:rPr>
      <w:color w:val="000000"/>
    </w:rPr>
  </w:style>
  <w:style w:type="character" w:customStyle="1" w:styleId="hotkey-layer">
    <w:name w:val="hotkey-layer"/>
    <w:basedOn w:val="DefaultParagraphFont"/>
    <w:rsid w:val="00AF69EF"/>
  </w:style>
  <w:style w:type="character" w:customStyle="1" w:styleId="a-size-large">
    <w:name w:val="a-size-large"/>
    <w:rsid w:val="00AF69EF"/>
  </w:style>
  <w:style w:type="paragraph" w:customStyle="1" w:styleId="APAAbstract">
    <w:name w:val="APA Abstract"/>
    <w:basedOn w:val="APA"/>
    <w:rsid w:val="003D173D"/>
    <w:pPr>
      <w:overflowPunct/>
      <w:autoSpaceDE/>
      <w:autoSpaceDN/>
      <w:adjustRightInd/>
      <w:ind w:firstLine="0"/>
    </w:pPr>
    <w:rPr>
      <w:szCs w:val="24"/>
    </w:rPr>
  </w:style>
  <w:style w:type="paragraph" w:customStyle="1" w:styleId="APAHeadingCenter">
    <w:name w:val="APA Heading Center"/>
    <w:basedOn w:val="APA"/>
    <w:rsid w:val="003D173D"/>
    <w:pPr>
      <w:overflowPunct/>
      <w:autoSpaceDE/>
      <w:autoSpaceDN/>
      <w:adjustRightInd/>
      <w:ind w:firstLine="0"/>
      <w:jc w:val="center"/>
    </w:pPr>
    <w:rPr>
      <w:szCs w:val="24"/>
    </w:rPr>
  </w:style>
  <w:style w:type="paragraph" w:customStyle="1" w:styleId="APAPageHeading">
    <w:name w:val="APA Page Heading"/>
    <w:basedOn w:val="APA"/>
    <w:rsid w:val="003D173D"/>
    <w:pPr>
      <w:tabs>
        <w:tab w:val="right" w:pos="9360"/>
      </w:tabs>
      <w:overflowPunct/>
      <w:autoSpaceDE/>
      <w:autoSpaceDN/>
      <w:adjustRightInd/>
      <w:ind w:firstLine="0"/>
    </w:pPr>
    <w:rPr>
      <w:szCs w:val="24"/>
    </w:rPr>
  </w:style>
  <w:style w:type="character" w:styleId="PlaceholderText">
    <w:name w:val="Placeholder Text"/>
    <w:basedOn w:val="DefaultParagraphFont"/>
    <w:uiPriority w:val="99"/>
    <w:semiHidden/>
    <w:rsid w:val="003D173D"/>
    <w:rPr>
      <w:color w:val="808080"/>
    </w:rPr>
  </w:style>
  <w:style w:type="paragraph" w:customStyle="1" w:styleId="APAReferenceSectionHeading">
    <w:name w:val="APA Reference Section Heading"/>
    <w:basedOn w:val="APAHeadingCenter"/>
    <w:next w:val="APAReference"/>
    <w:rsid w:val="003D173D"/>
    <w:pPr>
      <w:outlineLvl w:val="0"/>
    </w:pPr>
    <w:rPr>
      <w:b/>
    </w:rPr>
  </w:style>
  <w:style w:type="paragraph" w:customStyle="1" w:styleId="APATitle">
    <w:name w:val="APA Title"/>
    <w:basedOn w:val="APAHeadingCenter"/>
    <w:rsid w:val="003D173D"/>
    <w:rPr>
      <w:b/>
    </w:rPr>
  </w:style>
  <w:style w:type="paragraph" w:customStyle="1" w:styleId="APAFirstPageTitle">
    <w:name w:val="APA First Page Title"/>
    <w:basedOn w:val="Normal"/>
    <w:next w:val="APA"/>
    <w:rsid w:val="003D173D"/>
    <w:pPr>
      <w:spacing w:line="480" w:lineRule="auto"/>
      <w:jc w:val="center"/>
      <w:outlineLvl w:val="0"/>
    </w:pPr>
    <w:rPr>
      <w:b/>
    </w:rPr>
  </w:style>
  <w:style w:type="paragraph" w:customStyle="1" w:styleId="APAAbstractHeader">
    <w:name w:val="APA Abstract Header"/>
    <w:basedOn w:val="APAHeadingCenter"/>
    <w:next w:val="APAAbstract"/>
    <w:rsid w:val="003D173D"/>
    <w:rPr>
      <w:b/>
    </w:rPr>
  </w:style>
  <w:style w:type="table" w:customStyle="1" w:styleId="TableGrid0">
    <w:name w:val="TableGrid"/>
    <w:rsid w:val="0097321B"/>
    <w:pPr>
      <w:spacing w:after="0" w:line="240" w:lineRule="auto"/>
    </w:pPr>
    <w:rPr>
      <w:rFonts w:eastAsiaTheme="minorEastAsia"/>
    </w:rPr>
    <w:tblPr>
      <w:tblCellMar>
        <w:top w:w="0" w:type="dxa"/>
        <w:left w:w="0" w:type="dxa"/>
        <w:bottom w:w="0" w:type="dxa"/>
        <w:right w:w="0" w:type="dxa"/>
      </w:tblCellMar>
    </w:tblPr>
  </w:style>
  <w:style w:type="character" w:customStyle="1" w:styleId="cit">
    <w:name w:val="cit"/>
    <w:basedOn w:val="DefaultParagraphFont"/>
    <w:rsid w:val="00777E51"/>
  </w:style>
  <w:style w:type="character" w:customStyle="1" w:styleId="title-text">
    <w:name w:val="title-text"/>
    <w:basedOn w:val="DefaultParagraphFont"/>
    <w:rsid w:val="00777E51"/>
  </w:style>
  <w:style w:type="paragraph" w:customStyle="1" w:styleId="p">
    <w:name w:val="p"/>
    <w:basedOn w:val="Normal"/>
    <w:rsid w:val="00B93741"/>
    <w:pPr>
      <w:spacing w:before="100" w:beforeAutospacing="1" w:after="100" w:afterAutospacing="1"/>
    </w:pPr>
  </w:style>
  <w:style w:type="character" w:customStyle="1" w:styleId="markedcontent">
    <w:name w:val="markedcontent"/>
    <w:basedOn w:val="DefaultParagraphFont"/>
    <w:rsid w:val="00CB2EEA"/>
  </w:style>
  <w:style w:type="character" w:customStyle="1" w:styleId="hgkelc">
    <w:name w:val="hgkelc"/>
    <w:basedOn w:val="DefaultParagraphFont"/>
    <w:rsid w:val="00CB2EEA"/>
  </w:style>
  <w:style w:type="character" w:customStyle="1" w:styleId="element-citation">
    <w:name w:val="element-citation"/>
    <w:basedOn w:val="DefaultParagraphFont"/>
    <w:rsid w:val="00CB2EEA"/>
  </w:style>
  <w:style w:type="paragraph" w:styleId="Title">
    <w:name w:val="Title"/>
    <w:basedOn w:val="Normal"/>
    <w:next w:val="Normal"/>
    <w:link w:val="TitleChar"/>
    <w:uiPriority w:val="10"/>
    <w:qFormat/>
    <w:rsid w:val="00863B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BA6"/>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8942C8"/>
    <w:pPr>
      <w:spacing w:after="200"/>
    </w:pPr>
    <w:rPr>
      <w:rFonts w:asciiTheme="minorHAnsi" w:eastAsiaTheme="minorHAnsi" w:hAnsiTheme="minorHAnsi" w:cstheme="minorBidi"/>
      <w:i/>
      <w:iCs/>
      <w:color w:val="1F497D" w:themeColor="text2"/>
      <w:sz w:val="18"/>
      <w:szCs w:val="18"/>
    </w:rPr>
  </w:style>
  <w:style w:type="paragraph" w:styleId="TOCHeading">
    <w:name w:val="TOC Heading"/>
    <w:basedOn w:val="Heading1"/>
    <w:next w:val="Normal"/>
    <w:uiPriority w:val="39"/>
    <w:unhideWhenUsed/>
    <w:qFormat/>
    <w:rsid w:val="003F42A0"/>
    <w:pPr>
      <w:spacing w:line="259" w:lineRule="auto"/>
      <w:outlineLvl w:val="9"/>
    </w:pPr>
  </w:style>
  <w:style w:type="character" w:customStyle="1" w:styleId="normaltextrun">
    <w:name w:val="normaltextrun"/>
    <w:basedOn w:val="DefaultParagraphFont"/>
    <w:rsid w:val="00BE368A"/>
  </w:style>
  <w:style w:type="paragraph" w:customStyle="1" w:styleId="paragraph0">
    <w:name w:val="paragraph"/>
    <w:basedOn w:val="Normal"/>
    <w:rsid w:val="00BE368A"/>
    <w:pPr>
      <w:spacing w:before="100" w:beforeAutospacing="1" w:after="100" w:afterAutospacing="1"/>
    </w:pPr>
  </w:style>
  <w:style w:type="character" w:customStyle="1" w:styleId="eop">
    <w:name w:val="eop"/>
    <w:basedOn w:val="DefaultParagraphFont"/>
    <w:rsid w:val="00BE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5687">
      <w:bodyDiv w:val="1"/>
      <w:marLeft w:val="0"/>
      <w:marRight w:val="0"/>
      <w:marTop w:val="0"/>
      <w:marBottom w:val="0"/>
      <w:divBdr>
        <w:top w:val="none" w:sz="0" w:space="0" w:color="auto"/>
        <w:left w:val="none" w:sz="0" w:space="0" w:color="auto"/>
        <w:bottom w:val="none" w:sz="0" w:space="0" w:color="auto"/>
        <w:right w:val="none" w:sz="0" w:space="0" w:color="auto"/>
      </w:divBdr>
    </w:div>
    <w:div w:id="151001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sha.org/doi/abs/10.1044/2017_LSHSS-16-0030" TargetMode="External"/><Relationship Id="rId13" Type="http://schemas.openxmlformats.org/officeDocument/2006/relationships/hyperlink" Target="https://shop.lww.com/Brunner---Suddarth-s-Textbook-of-Medical-Surgical-Nursing/p/9781496347992" TargetMode="External"/><Relationship Id="rId18" Type="http://schemas.openxmlformats.org/officeDocument/2006/relationships/header" Target="header3.xml"/><Relationship Id="Rb4d9425e29af421b" Type="http://schemas.microsoft.com/office/2019/09/relationships/intelligence" Target="intelligenc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www.currentnursing.com/nursing_theory/change_theory.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ln.lww.com/Certified-Nurse-Educator-Review-Book/p/978197515405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ubmed.ncbi.nlm.nih.gov/2862226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csbn.org/RN_Test_Plan_2016_Final.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ATI</a:t>
            </a:r>
            <a:r>
              <a:rPr lang="en-US" sz="1000" baseline="0"/>
              <a:t> PHARMACOLOGY EXAMINATIONS</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c:f>
              <c:strCache>
                <c:ptCount val="1"/>
                <c:pt idx="0">
                  <c:v>SP PHARM</c:v>
                </c:pt>
              </c:strCache>
            </c:strRef>
          </c:tx>
          <c:spPr>
            <a:solidFill>
              <a:schemeClr val="accent1"/>
            </a:solidFill>
            <a:ln>
              <a:noFill/>
            </a:ln>
            <a:effectLst/>
            <a:sp3d/>
          </c:spPr>
          <c:invertIfNegative val="0"/>
          <c:val>
            <c:numRef>
              <c:f>Sheet1!$A$2:$A$41</c:f>
              <c:numCache>
                <c:formatCode>General</c:formatCode>
                <c:ptCount val="40"/>
                <c:pt idx="0">
                  <c:v>70</c:v>
                </c:pt>
                <c:pt idx="1">
                  <c:v>73.3</c:v>
                </c:pt>
                <c:pt idx="2">
                  <c:v>66.7</c:v>
                </c:pt>
                <c:pt idx="3">
                  <c:v>75</c:v>
                </c:pt>
                <c:pt idx="4">
                  <c:v>90</c:v>
                </c:pt>
                <c:pt idx="5">
                  <c:v>45</c:v>
                </c:pt>
                <c:pt idx="6">
                  <c:v>70</c:v>
                </c:pt>
                <c:pt idx="7">
                  <c:v>83.3</c:v>
                </c:pt>
                <c:pt idx="8">
                  <c:v>60</c:v>
                </c:pt>
                <c:pt idx="9">
                  <c:v>73.3</c:v>
                </c:pt>
                <c:pt idx="10">
                  <c:v>71.7</c:v>
                </c:pt>
                <c:pt idx="11">
                  <c:v>51.7</c:v>
                </c:pt>
                <c:pt idx="12">
                  <c:v>66.7</c:v>
                </c:pt>
                <c:pt idx="13">
                  <c:v>60</c:v>
                </c:pt>
                <c:pt idx="14">
                  <c:v>56.7</c:v>
                </c:pt>
                <c:pt idx="15">
                  <c:v>65</c:v>
                </c:pt>
                <c:pt idx="16">
                  <c:v>88.3</c:v>
                </c:pt>
                <c:pt idx="17">
                  <c:v>63.5</c:v>
                </c:pt>
                <c:pt idx="18">
                  <c:v>58.3</c:v>
                </c:pt>
                <c:pt idx="19">
                  <c:v>66.7</c:v>
                </c:pt>
                <c:pt idx="20">
                  <c:v>73.3</c:v>
                </c:pt>
                <c:pt idx="21">
                  <c:v>66.7</c:v>
                </c:pt>
                <c:pt idx="22">
                  <c:v>71.7</c:v>
                </c:pt>
                <c:pt idx="23">
                  <c:v>75</c:v>
                </c:pt>
                <c:pt idx="24">
                  <c:v>56.7</c:v>
                </c:pt>
                <c:pt idx="25">
                  <c:v>70</c:v>
                </c:pt>
                <c:pt idx="26">
                  <c:v>65</c:v>
                </c:pt>
                <c:pt idx="27">
                  <c:v>61.7</c:v>
                </c:pt>
                <c:pt idx="28">
                  <c:v>58.3</c:v>
                </c:pt>
                <c:pt idx="29">
                  <c:v>85</c:v>
                </c:pt>
                <c:pt idx="30">
                  <c:v>66.7</c:v>
                </c:pt>
                <c:pt idx="31">
                  <c:v>58.3</c:v>
                </c:pt>
                <c:pt idx="32">
                  <c:v>58.5</c:v>
                </c:pt>
                <c:pt idx="33">
                  <c:v>51.7</c:v>
                </c:pt>
                <c:pt idx="34">
                  <c:v>68.3</c:v>
                </c:pt>
                <c:pt idx="35">
                  <c:v>78.3</c:v>
                </c:pt>
                <c:pt idx="36">
                  <c:v>76.7</c:v>
                </c:pt>
              </c:numCache>
            </c:numRef>
          </c:val>
          <c:extLst>
            <c:ext xmlns:c16="http://schemas.microsoft.com/office/drawing/2014/chart" uri="{C3380CC4-5D6E-409C-BE32-E72D297353CC}">
              <c16:uniqueId val="{00000000-A709-496B-BABA-43CB8FB96C85}"/>
            </c:ext>
          </c:extLst>
        </c:ser>
        <c:ser>
          <c:idx val="1"/>
          <c:order val="1"/>
          <c:tx>
            <c:strRef>
              <c:f>Sheet1!$B$1</c:f>
              <c:strCache>
                <c:ptCount val="1"/>
                <c:pt idx="0">
                  <c:v>SP COMP</c:v>
                </c:pt>
              </c:strCache>
            </c:strRef>
          </c:tx>
          <c:spPr>
            <a:solidFill>
              <a:schemeClr val="accent2"/>
            </a:solidFill>
            <a:ln>
              <a:noFill/>
            </a:ln>
            <a:effectLst/>
            <a:sp3d/>
          </c:spPr>
          <c:invertIfNegative val="0"/>
          <c:val>
            <c:numRef>
              <c:f>Sheet1!$B$2:$B$41</c:f>
              <c:numCache>
                <c:formatCode>General</c:formatCode>
                <c:ptCount val="40"/>
                <c:pt idx="0">
                  <c:v>71.7</c:v>
                </c:pt>
                <c:pt idx="1">
                  <c:v>78.3</c:v>
                </c:pt>
                <c:pt idx="2">
                  <c:v>60.9</c:v>
                </c:pt>
                <c:pt idx="3">
                  <c:v>82.6</c:v>
                </c:pt>
                <c:pt idx="4">
                  <c:v>87</c:v>
                </c:pt>
                <c:pt idx="5">
                  <c:v>78.3</c:v>
                </c:pt>
                <c:pt idx="6">
                  <c:v>78.3</c:v>
                </c:pt>
                <c:pt idx="7">
                  <c:v>82.6</c:v>
                </c:pt>
                <c:pt idx="8">
                  <c:v>65.2</c:v>
                </c:pt>
                <c:pt idx="9">
                  <c:v>82.6</c:v>
                </c:pt>
                <c:pt idx="10">
                  <c:v>73.900000000000006</c:v>
                </c:pt>
                <c:pt idx="11">
                  <c:v>78.3</c:v>
                </c:pt>
                <c:pt idx="12">
                  <c:v>69.599999999999994</c:v>
                </c:pt>
                <c:pt idx="13">
                  <c:v>69.599999999999994</c:v>
                </c:pt>
                <c:pt idx="14">
                  <c:v>56.5</c:v>
                </c:pt>
                <c:pt idx="15">
                  <c:v>60.9</c:v>
                </c:pt>
                <c:pt idx="16">
                  <c:v>91.3</c:v>
                </c:pt>
                <c:pt idx="17">
                  <c:v>73.900000000000006</c:v>
                </c:pt>
                <c:pt idx="18">
                  <c:v>65.2</c:v>
                </c:pt>
                <c:pt idx="19">
                  <c:v>69.599999999999994</c:v>
                </c:pt>
                <c:pt idx="20">
                  <c:v>73.900000000000006</c:v>
                </c:pt>
                <c:pt idx="21">
                  <c:v>56.5</c:v>
                </c:pt>
                <c:pt idx="22">
                  <c:v>78.3</c:v>
                </c:pt>
                <c:pt idx="23">
                  <c:v>100</c:v>
                </c:pt>
                <c:pt idx="24">
                  <c:v>82.6</c:v>
                </c:pt>
                <c:pt idx="25">
                  <c:v>73.900000000000006</c:v>
                </c:pt>
                <c:pt idx="26">
                  <c:v>69.599999999999994</c:v>
                </c:pt>
                <c:pt idx="27">
                  <c:v>52.2</c:v>
                </c:pt>
                <c:pt idx="28">
                  <c:v>78.3</c:v>
                </c:pt>
                <c:pt idx="29">
                  <c:v>87</c:v>
                </c:pt>
                <c:pt idx="30">
                  <c:v>73.900000000000006</c:v>
                </c:pt>
                <c:pt idx="31">
                  <c:v>78.3</c:v>
                </c:pt>
                <c:pt idx="32">
                  <c:v>73.900000000000006</c:v>
                </c:pt>
                <c:pt idx="33">
                  <c:v>65.2</c:v>
                </c:pt>
                <c:pt idx="34">
                  <c:v>87</c:v>
                </c:pt>
                <c:pt idx="35">
                  <c:v>91.3</c:v>
                </c:pt>
                <c:pt idx="36">
                  <c:v>78.3</c:v>
                </c:pt>
              </c:numCache>
            </c:numRef>
          </c:val>
          <c:extLst>
            <c:ext xmlns:c16="http://schemas.microsoft.com/office/drawing/2014/chart" uri="{C3380CC4-5D6E-409C-BE32-E72D297353CC}">
              <c16:uniqueId val="{00000001-A709-496B-BABA-43CB8FB96C85}"/>
            </c:ext>
          </c:extLst>
        </c:ser>
        <c:ser>
          <c:idx val="2"/>
          <c:order val="2"/>
          <c:tx>
            <c:strRef>
              <c:f>Sheet1!$C$1</c:f>
              <c:strCache>
                <c:ptCount val="1"/>
                <c:pt idx="0">
                  <c:v>FA PHARM</c:v>
                </c:pt>
              </c:strCache>
            </c:strRef>
          </c:tx>
          <c:spPr>
            <a:solidFill>
              <a:schemeClr val="accent3"/>
            </a:solidFill>
            <a:ln>
              <a:noFill/>
            </a:ln>
            <a:effectLst/>
            <a:sp3d/>
          </c:spPr>
          <c:invertIfNegative val="0"/>
          <c:val>
            <c:numRef>
              <c:f>Sheet1!$C$2:$C$41</c:f>
              <c:numCache>
                <c:formatCode>General</c:formatCode>
                <c:ptCount val="40"/>
                <c:pt idx="0">
                  <c:v>64.2</c:v>
                </c:pt>
                <c:pt idx="1">
                  <c:v>52.8</c:v>
                </c:pt>
                <c:pt idx="2">
                  <c:v>75.5</c:v>
                </c:pt>
                <c:pt idx="3">
                  <c:v>71.7</c:v>
                </c:pt>
                <c:pt idx="4">
                  <c:v>52.8</c:v>
                </c:pt>
                <c:pt idx="5">
                  <c:v>64.2</c:v>
                </c:pt>
                <c:pt idx="6">
                  <c:v>56.6</c:v>
                </c:pt>
                <c:pt idx="7">
                  <c:v>62.3</c:v>
                </c:pt>
                <c:pt idx="8">
                  <c:v>58.5</c:v>
                </c:pt>
                <c:pt idx="9">
                  <c:v>47.2</c:v>
                </c:pt>
                <c:pt idx="10">
                  <c:v>56.6</c:v>
                </c:pt>
                <c:pt idx="11">
                  <c:v>43.4</c:v>
                </c:pt>
                <c:pt idx="12">
                  <c:v>66</c:v>
                </c:pt>
                <c:pt idx="13">
                  <c:v>88.7</c:v>
                </c:pt>
                <c:pt idx="14">
                  <c:v>24.5</c:v>
                </c:pt>
                <c:pt idx="15">
                  <c:v>71.7</c:v>
                </c:pt>
                <c:pt idx="16">
                  <c:v>49.1</c:v>
                </c:pt>
                <c:pt idx="17">
                  <c:v>66</c:v>
                </c:pt>
                <c:pt idx="18">
                  <c:v>41.5</c:v>
                </c:pt>
                <c:pt idx="19">
                  <c:v>52.8</c:v>
                </c:pt>
                <c:pt idx="20">
                  <c:v>39.6</c:v>
                </c:pt>
                <c:pt idx="21">
                  <c:v>50.9</c:v>
                </c:pt>
                <c:pt idx="22">
                  <c:v>45.3</c:v>
                </c:pt>
                <c:pt idx="23">
                  <c:v>71.7</c:v>
                </c:pt>
                <c:pt idx="24">
                  <c:v>80</c:v>
                </c:pt>
                <c:pt idx="25">
                  <c:v>61.7</c:v>
                </c:pt>
                <c:pt idx="26">
                  <c:v>83.3</c:v>
                </c:pt>
                <c:pt idx="27">
                  <c:v>63.3</c:v>
                </c:pt>
                <c:pt idx="28">
                  <c:v>70</c:v>
                </c:pt>
                <c:pt idx="29">
                  <c:v>75</c:v>
                </c:pt>
                <c:pt idx="30">
                  <c:v>63.3</c:v>
                </c:pt>
                <c:pt idx="31">
                  <c:v>50</c:v>
                </c:pt>
                <c:pt idx="32">
                  <c:v>71.7</c:v>
                </c:pt>
                <c:pt idx="33">
                  <c:v>81.7</c:v>
                </c:pt>
                <c:pt idx="34">
                  <c:v>73.3</c:v>
                </c:pt>
                <c:pt idx="35">
                  <c:v>83.3</c:v>
                </c:pt>
                <c:pt idx="36">
                  <c:v>85</c:v>
                </c:pt>
                <c:pt idx="37">
                  <c:v>71.7</c:v>
                </c:pt>
                <c:pt idx="38">
                  <c:v>70</c:v>
                </c:pt>
                <c:pt idx="39">
                  <c:v>61.7</c:v>
                </c:pt>
              </c:numCache>
            </c:numRef>
          </c:val>
          <c:extLst>
            <c:ext xmlns:c16="http://schemas.microsoft.com/office/drawing/2014/chart" uri="{C3380CC4-5D6E-409C-BE32-E72D297353CC}">
              <c16:uniqueId val="{00000002-A709-496B-BABA-43CB8FB96C85}"/>
            </c:ext>
          </c:extLst>
        </c:ser>
        <c:ser>
          <c:idx val="3"/>
          <c:order val="3"/>
          <c:tx>
            <c:strRef>
              <c:f>Sheet1!$D$1</c:f>
              <c:strCache>
                <c:ptCount val="1"/>
                <c:pt idx="0">
                  <c:v>FA COMP</c:v>
                </c:pt>
              </c:strCache>
            </c:strRef>
          </c:tx>
          <c:spPr>
            <a:solidFill>
              <a:schemeClr val="accent4"/>
            </a:solidFill>
            <a:ln>
              <a:noFill/>
            </a:ln>
            <a:effectLst/>
            <a:sp3d/>
          </c:spPr>
          <c:invertIfNegative val="0"/>
          <c:val>
            <c:numRef>
              <c:f>Sheet1!$D$2:$D$41</c:f>
              <c:numCache>
                <c:formatCode>General</c:formatCode>
                <c:ptCount val="40"/>
                <c:pt idx="0">
                  <c:v>82.6</c:v>
                </c:pt>
                <c:pt idx="1">
                  <c:v>65.2</c:v>
                </c:pt>
                <c:pt idx="2">
                  <c:v>87</c:v>
                </c:pt>
                <c:pt idx="3">
                  <c:v>100</c:v>
                </c:pt>
                <c:pt idx="4">
                  <c:v>82.6</c:v>
                </c:pt>
                <c:pt idx="5">
                  <c:v>65.2</c:v>
                </c:pt>
                <c:pt idx="6">
                  <c:v>69.599999999999994</c:v>
                </c:pt>
                <c:pt idx="7">
                  <c:v>69.599999999999994</c:v>
                </c:pt>
                <c:pt idx="8">
                  <c:v>73.900000000000006</c:v>
                </c:pt>
                <c:pt idx="9">
                  <c:v>69.599999999999994</c:v>
                </c:pt>
                <c:pt idx="10">
                  <c:v>82.6</c:v>
                </c:pt>
                <c:pt idx="11">
                  <c:v>95.7</c:v>
                </c:pt>
                <c:pt idx="12">
                  <c:v>69.599999999999994</c:v>
                </c:pt>
                <c:pt idx="13">
                  <c:v>100</c:v>
                </c:pt>
                <c:pt idx="14">
                  <c:v>56.5</c:v>
                </c:pt>
                <c:pt idx="15">
                  <c:v>82.6</c:v>
                </c:pt>
                <c:pt idx="16">
                  <c:v>73.900000000000006</c:v>
                </c:pt>
                <c:pt idx="17">
                  <c:v>73.900000000000006</c:v>
                </c:pt>
                <c:pt idx="18">
                  <c:v>65.2</c:v>
                </c:pt>
                <c:pt idx="19">
                  <c:v>87</c:v>
                </c:pt>
                <c:pt idx="20">
                  <c:v>78.3</c:v>
                </c:pt>
                <c:pt idx="21">
                  <c:v>52.2</c:v>
                </c:pt>
                <c:pt idx="22">
                  <c:v>73.900000000000006</c:v>
                </c:pt>
                <c:pt idx="23">
                  <c:v>91.3</c:v>
                </c:pt>
                <c:pt idx="24">
                  <c:v>91.3</c:v>
                </c:pt>
                <c:pt idx="25">
                  <c:v>65.2</c:v>
                </c:pt>
                <c:pt idx="26">
                  <c:v>82.6</c:v>
                </c:pt>
                <c:pt idx="27">
                  <c:v>71.7</c:v>
                </c:pt>
                <c:pt idx="28">
                  <c:v>87</c:v>
                </c:pt>
                <c:pt idx="29">
                  <c:v>87</c:v>
                </c:pt>
                <c:pt idx="30">
                  <c:v>65.2</c:v>
                </c:pt>
                <c:pt idx="31">
                  <c:v>73.900000000000006</c:v>
                </c:pt>
                <c:pt idx="32">
                  <c:v>73.900000000000006</c:v>
                </c:pt>
                <c:pt idx="33">
                  <c:v>78.3</c:v>
                </c:pt>
                <c:pt idx="34">
                  <c:v>78.3</c:v>
                </c:pt>
                <c:pt idx="35">
                  <c:v>87</c:v>
                </c:pt>
                <c:pt idx="36">
                  <c:v>87.3</c:v>
                </c:pt>
                <c:pt idx="37">
                  <c:v>71.7</c:v>
                </c:pt>
                <c:pt idx="38">
                  <c:v>91.3</c:v>
                </c:pt>
                <c:pt idx="39">
                  <c:v>69.599999999999994</c:v>
                </c:pt>
              </c:numCache>
            </c:numRef>
          </c:val>
          <c:extLst>
            <c:ext xmlns:c16="http://schemas.microsoft.com/office/drawing/2014/chart" uri="{C3380CC4-5D6E-409C-BE32-E72D297353CC}">
              <c16:uniqueId val="{00000003-A709-496B-BABA-43CB8FB96C85}"/>
            </c:ext>
          </c:extLst>
        </c:ser>
        <c:dLbls>
          <c:showLegendKey val="0"/>
          <c:showVal val="0"/>
          <c:showCatName val="0"/>
          <c:showSerName val="0"/>
          <c:showPercent val="0"/>
          <c:showBubbleSize val="0"/>
        </c:dLbls>
        <c:gapWidth val="150"/>
        <c:shape val="box"/>
        <c:axId val="598789528"/>
        <c:axId val="598792808"/>
        <c:axId val="0"/>
      </c:bar3DChart>
      <c:catAx>
        <c:axId val="5987895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792808"/>
        <c:crosses val="autoZero"/>
        <c:auto val="1"/>
        <c:lblAlgn val="ctr"/>
        <c:lblOffset val="100"/>
        <c:noMultiLvlLbl val="0"/>
      </c:catAx>
      <c:valAx>
        <c:axId val="598792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78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5</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146</cp:revision>
  <dcterms:created xsi:type="dcterms:W3CDTF">2021-08-10T02:58:00Z</dcterms:created>
  <dcterms:modified xsi:type="dcterms:W3CDTF">2021-08-12T18:05:00Z</dcterms:modified>
</cp:coreProperties>
</file>