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F2" w:rsidRPr="007A14B3" w:rsidRDefault="003D4235" w:rsidP="00892AF2">
      <w:pPr>
        <w:spacing w:line="240" w:lineRule="auto"/>
        <w:contextualSpacing/>
        <w:mirrorIndents/>
        <w:jc w:val="both"/>
        <w:rPr>
          <w:rFonts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Pr>
          <w:rFonts w:cs="Times New Roman"/>
          <w:b/>
        </w:rPr>
        <w:t>Research</w:t>
      </w:r>
      <w:r w:rsidR="00892AF2" w:rsidRPr="007A14B3">
        <w:rPr>
          <w:rFonts w:cs="Times New Roman"/>
          <w:b/>
        </w:rPr>
        <w:t xml:space="preserve"> Article</w:t>
      </w:r>
    </w:p>
    <w:p w:rsidR="00892AF2" w:rsidRPr="00F924C9" w:rsidRDefault="00892AF2" w:rsidP="00892AF2">
      <w:pPr>
        <w:spacing w:line="240" w:lineRule="auto"/>
        <w:contextualSpacing/>
        <w:mirrorIndents/>
        <w:jc w:val="both"/>
        <w:rPr>
          <w:rFonts w:cs="Times New Roman"/>
          <w:sz w:val="20"/>
          <w:szCs w:val="20"/>
        </w:rPr>
      </w:pPr>
    </w:p>
    <w:p w:rsidR="00892AF2" w:rsidRPr="0090204A" w:rsidRDefault="00F033A8" w:rsidP="00892AF2">
      <w:pPr>
        <w:spacing w:line="240" w:lineRule="auto"/>
        <w:contextualSpacing/>
        <w:mirrorIndents/>
        <w:jc w:val="center"/>
        <w:rPr>
          <w:rFonts w:cs="Times New Roman"/>
          <w:b/>
          <w:sz w:val="30"/>
          <w:szCs w:val="30"/>
        </w:rPr>
      </w:pPr>
      <w:r w:rsidRPr="006F3E15">
        <w:rPr>
          <w:rFonts w:cs="Times New Roman"/>
          <w:b/>
          <w:sz w:val="30"/>
          <w:szCs w:val="30"/>
        </w:rPr>
        <w:t>Bridging the Gap between Nursing School and Professional Practice</w:t>
      </w:r>
    </w:p>
    <w:p w:rsidR="00892AF2" w:rsidRPr="00F924C9" w:rsidRDefault="00892AF2" w:rsidP="00892AF2">
      <w:pPr>
        <w:spacing w:line="240" w:lineRule="auto"/>
        <w:contextualSpacing/>
        <w:mirrorIndents/>
        <w:jc w:val="both"/>
        <w:rPr>
          <w:rFonts w:cs="Times New Roman"/>
          <w:sz w:val="20"/>
          <w:szCs w:val="20"/>
        </w:rPr>
      </w:pPr>
    </w:p>
    <w:p w:rsidR="00892AF2" w:rsidRPr="0028216E" w:rsidRDefault="00FA34A8" w:rsidP="00FA34A8">
      <w:pPr>
        <w:spacing w:line="240" w:lineRule="auto"/>
        <w:contextualSpacing/>
        <w:mirrorIndents/>
        <w:jc w:val="both"/>
        <w:rPr>
          <w:rFonts w:cs="Times New Roman"/>
          <w:color w:val="FF0000"/>
          <w:sz w:val="20"/>
          <w:szCs w:val="20"/>
        </w:rPr>
      </w:pPr>
      <w:r w:rsidRPr="00FA34A8">
        <w:rPr>
          <w:rFonts w:cs="Times New Roman"/>
          <w:b/>
        </w:rPr>
        <w:t>Angel Boling, PhD, RN</w:t>
      </w:r>
      <w:r w:rsidR="00F27504" w:rsidRPr="00F27504">
        <w:rPr>
          <w:rFonts w:cs="Times New Roman"/>
          <w:b/>
          <w:color w:val="FF0000"/>
          <w:vertAlign w:val="superscript"/>
        </w:rPr>
        <w:t>1#</w:t>
      </w:r>
      <w:r>
        <w:rPr>
          <w:rFonts w:cs="Times New Roman"/>
          <w:b/>
        </w:rPr>
        <w:t xml:space="preserve">, </w:t>
      </w:r>
      <w:r w:rsidRPr="00FA34A8">
        <w:rPr>
          <w:rFonts w:cs="Times New Roman"/>
          <w:b/>
        </w:rPr>
        <w:t>Pamela Cherry, DNP, RN</w:t>
      </w:r>
      <w:r w:rsidR="00F27504" w:rsidRPr="00F27504">
        <w:rPr>
          <w:rFonts w:cs="Times New Roman"/>
          <w:b/>
          <w:color w:val="FF0000"/>
          <w:vertAlign w:val="superscript"/>
        </w:rPr>
        <w:t>1</w:t>
      </w:r>
      <w:r>
        <w:rPr>
          <w:rFonts w:cs="Times New Roman"/>
          <w:b/>
        </w:rPr>
        <w:t xml:space="preserve">, </w:t>
      </w:r>
      <w:r w:rsidRPr="00FA34A8">
        <w:rPr>
          <w:rFonts w:cs="Times New Roman"/>
          <w:b/>
        </w:rPr>
        <w:t>Robert Parker, MSN, RN</w:t>
      </w:r>
      <w:r w:rsidR="00F27504" w:rsidRPr="00F27504">
        <w:rPr>
          <w:rFonts w:cs="Times New Roman"/>
          <w:b/>
          <w:color w:val="FF0000"/>
          <w:vertAlign w:val="superscript"/>
        </w:rPr>
        <w:t>1</w:t>
      </w:r>
      <w:r>
        <w:rPr>
          <w:rFonts w:cs="Times New Roman"/>
          <w:b/>
        </w:rPr>
        <w:t xml:space="preserve">, </w:t>
      </w:r>
      <w:r w:rsidRPr="00FA34A8">
        <w:rPr>
          <w:rFonts w:cs="Times New Roman"/>
          <w:b/>
        </w:rPr>
        <w:t>Anne Plumb, DNSc</w:t>
      </w:r>
      <w:r w:rsidR="00F27504" w:rsidRPr="00F27504">
        <w:rPr>
          <w:rFonts w:cs="Times New Roman"/>
          <w:b/>
          <w:color w:val="FF0000"/>
          <w:vertAlign w:val="superscript"/>
        </w:rPr>
        <w:t>1</w:t>
      </w:r>
      <w:r w:rsidR="006E4BB3">
        <w:rPr>
          <w:rFonts w:cs="Times New Roman"/>
          <w:b/>
        </w:rPr>
        <w:t xml:space="preserve">, </w:t>
      </w:r>
      <w:r w:rsidR="006E4BB3" w:rsidRPr="006E4BB3">
        <w:rPr>
          <w:rFonts w:cs="Times New Roman"/>
          <w:b/>
        </w:rPr>
        <w:t>Emily Horvath, BSN, RN</w:t>
      </w:r>
      <w:r w:rsidR="00845C1F" w:rsidRPr="00F27504">
        <w:rPr>
          <w:rFonts w:cs="Times New Roman"/>
          <w:b/>
          <w:color w:val="FF0000"/>
          <w:vertAlign w:val="superscript"/>
        </w:rPr>
        <w:t>2</w:t>
      </w:r>
    </w:p>
    <w:p w:rsidR="00FA34A8" w:rsidRPr="00FA34A8" w:rsidRDefault="00FA34A8" w:rsidP="00892AF2">
      <w:pPr>
        <w:spacing w:line="240" w:lineRule="auto"/>
        <w:contextualSpacing/>
        <w:mirrorIndents/>
        <w:jc w:val="both"/>
        <w:rPr>
          <w:rFonts w:cs="Times New Roman"/>
          <w:color w:val="FF0000"/>
          <w:sz w:val="20"/>
          <w:szCs w:val="20"/>
        </w:rPr>
      </w:pPr>
    </w:p>
    <w:p w:rsidR="00892AF2" w:rsidRDefault="00386643" w:rsidP="00386643">
      <w:pPr>
        <w:spacing w:line="240" w:lineRule="auto"/>
        <w:contextualSpacing/>
        <w:mirrorIndents/>
        <w:jc w:val="both"/>
        <w:rPr>
          <w:rFonts w:cs="Times New Roman"/>
          <w:sz w:val="20"/>
          <w:szCs w:val="20"/>
        </w:rPr>
      </w:pPr>
      <w:r>
        <w:rPr>
          <w:rFonts w:cs="Times New Roman"/>
          <w:color w:val="FF0000"/>
          <w:sz w:val="20"/>
          <w:szCs w:val="20"/>
          <w:vertAlign w:val="superscript"/>
        </w:rPr>
        <w:t>1</w:t>
      </w:r>
      <w:r w:rsidR="00892AF2" w:rsidRPr="00F924C9">
        <w:rPr>
          <w:rFonts w:cs="Times New Roman"/>
          <w:color w:val="FF0000"/>
          <w:sz w:val="20"/>
          <w:szCs w:val="20"/>
          <w:vertAlign w:val="superscript"/>
        </w:rPr>
        <w:t>#</w:t>
      </w:r>
      <w:r w:rsidRPr="00386643">
        <w:rPr>
          <w:rFonts w:cs="Times New Roman"/>
          <w:sz w:val="20"/>
          <w:szCs w:val="20"/>
        </w:rPr>
        <w:t>School of Nursing</w:t>
      </w:r>
      <w:r>
        <w:rPr>
          <w:rFonts w:cs="Times New Roman"/>
          <w:sz w:val="20"/>
          <w:szCs w:val="20"/>
        </w:rPr>
        <w:t xml:space="preserve">, </w:t>
      </w:r>
      <w:r w:rsidRPr="00386643">
        <w:rPr>
          <w:rFonts w:cs="Times New Roman"/>
          <w:sz w:val="20"/>
          <w:szCs w:val="20"/>
        </w:rPr>
        <w:t>Baptist Health Sciences University</w:t>
      </w:r>
      <w:r>
        <w:rPr>
          <w:rFonts w:cs="Times New Roman"/>
          <w:sz w:val="20"/>
          <w:szCs w:val="20"/>
        </w:rPr>
        <w:t xml:space="preserve">, </w:t>
      </w:r>
      <w:r w:rsidRPr="00386643">
        <w:rPr>
          <w:rFonts w:cs="Times New Roman"/>
          <w:sz w:val="20"/>
          <w:szCs w:val="20"/>
        </w:rPr>
        <w:t xml:space="preserve">Memphis, </w:t>
      </w:r>
      <w:r w:rsidR="00B705E1" w:rsidRPr="00B705E1">
        <w:rPr>
          <w:rFonts w:cs="Times New Roman"/>
          <w:sz w:val="20"/>
          <w:szCs w:val="20"/>
        </w:rPr>
        <w:t>Tennessee</w:t>
      </w:r>
      <w:r w:rsidRPr="00386643">
        <w:rPr>
          <w:rFonts w:cs="Times New Roman"/>
          <w:sz w:val="20"/>
          <w:szCs w:val="20"/>
        </w:rPr>
        <w:t>, USA</w:t>
      </w:r>
    </w:p>
    <w:p w:rsidR="00892AF2" w:rsidRDefault="001964F9" w:rsidP="00892AF2">
      <w:pPr>
        <w:spacing w:line="240" w:lineRule="auto"/>
        <w:contextualSpacing/>
        <w:mirrorIndents/>
        <w:jc w:val="both"/>
        <w:rPr>
          <w:rFonts w:cs="Times New Roman"/>
          <w:sz w:val="20"/>
          <w:szCs w:val="20"/>
        </w:rPr>
      </w:pPr>
      <w:r w:rsidRPr="001964F9">
        <w:rPr>
          <w:rFonts w:cs="Times New Roman"/>
          <w:color w:val="FF0000"/>
          <w:sz w:val="20"/>
          <w:szCs w:val="20"/>
          <w:vertAlign w:val="superscript"/>
        </w:rPr>
        <w:t>2</w:t>
      </w:r>
      <w:r w:rsidR="00386643" w:rsidRPr="00386643">
        <w:rPr>
          <w:rFonts w:cs="Times New Roman"/>
          <w:sz w:val="20"/>
          <w:szCs w:val="20"/>
        </w:rPr>
        <w:t>Baptist Memorial Healthcare Corporation</w:t>
      </w:r>
      <w:r w:rsidR="00386643">
        <w:rPr>
          <w:rFonts w:cs="Times New Roman"/>
          <w:sz w:val="20"/>
          <w:szCs w:val="20"/>
        </w:rPr>
        <w:t xml:space="preserve">, </w:t>
      </w:r>
      <w:r w:rsidR="00386643" w:rsidRPr="00386643">
        <w:rPr>
          <w:rFonts w:cs="Times New Roman"/>
          <w:sz w:val="20"/>
          <w:szCs w:val="20"/>
        </w:rPr>
        <w:t xml:space="preserve">Memphis, </w:t>
      </w:r>
      <w:r w:rsidR="004304AD" w:rsidRPr="004304AD">
        <w:rPr>
          <w:rFonts w:cs="Times New Roman"/>
          <w:sz w:val="20"/>
          <w:szCs w:val="20"/>
        </w:rPr>
        <w:t>Tennessee</w:t>
      </w:r>
      <w:r w:rsidR="00386643" w:rsidRPr="00386643">
        <w:rPr>
          <w:rFonts w:cs="Times New Roman"/>
          <w:sz w:val="20"/>
          <w:szCs w:val="20"/>
        </w:rPr>
        <w:t>, USA</w:t>
      </w:r>
    </w:p>
    <w:p w:rsidR="00F94EBB" w:rsidRPr="00F924C9" w:rsidRDefault="00F94EBB" w:rsidP="00892AF2">
      <w:pPr>
        <w:spacing w:line="240" w:lineRule="auto"/>
        <w:contextualSpacing/>
        <w:mirrorIndents/>
        <w:jc w:val="both"/>
        <w:rPr>
          <w:rFonts w:cs="Times New Roman"/>
          <w:sz w:val="20"/>
          <w:szCs w:val="20"/>
        </w:rPr>
      </w:pPr>
    </w:p>
    <w:p w:rsidR="00892AF2" w:rsidRDefault="00892AF2" w:rsidP="00892AF2">
      <w:pPr>
        <w:spacing w:line="240" w:lineRule="auto"/>
        <w:contextualSpacing/>
        <w:mirrorIndents/>
        <w:jc w:val="both"/>
        <w:rPr>
          <w:rFonts w:cs="Times New Roman"/>
          <w:sz w:val="20"/>
          <w:szCs w:val="20"/>
        </w:rPr>
      </w:pPr>
      <w:r w:rsidRPr="00F924C9">
        <w:rPr>
          <w:rFonts w:cs="Times New Roman"/>
          <w:b/>
          <w:color w:val="FF0000"/>
          <w:sz w:val="20"/>
          <w:szCs w:val="20"/>
          <w:vertAlign w:val="superscript"/>
        </w:rPr>
        <w:t>#</w:t>
      </w:r>
      <w:r w:rsidRPr="00F924C9">
        <w:rPr>
          <w:rFonts w:cs="Times New Roman"/>
          <w:b/>
          <w:sz w:val="20"/>
          <w:szCs w:val="20"/>
        </w:rPr>
        <w:t>Corresponding author:</w:t>
      </w:r>
      <w:r w:rsidRPr="00F924C9">
        <w:rPr>
          <w:rFonts w:cs="Times New Roman"/>
          <w:sz w:val="20"/>
          <w:szCs w:val="20"/>
        </w:rPr>
        <w:t xml:space="preserve"> </w:t>
      </w:r>
      <w:r w:rsidR="00C41B80" w:rsidRPr="00C41B80">
        <w:rPr>
          <w:rFonts w:cs="Times New Roman"/>
          <w:sz w:val="20"/>
          <w:szCs w:val="20"/>
        </w:rPr>
        <w:t>Angel Boling, PhD, RN</w:t>
      </w:r>
      <w:r w:rsidRPr="00544129">
        <w:rPr>
          <w:rFonts w:cs="Times New Roman"/>
          <w:sz w:val="20"/>
          <w:szCs w:val="20"/>
        </w:rPr>
        <w:t>,</w:t>
      </w:r>
      <w:r w:rsidRPr="00F924C9">
        <w:rPr>
          <w:rFonts w:cs="Times New Roman"/>
          <w:sz w:val="20"/>
          <w:szCs w:val="20"/>
        </w:rPr>
        <w:t xml:space="preserve"> </w:t>
      </w:r>
      <w:r w:rsidR="00531E5A" w:rsidRPr="00531E5A">
        <w:rPr>
          <w:rFonts w:cs="Times New Roman"/>
          <w:sz w:val="20"/>
          <w:szCs w:val="20"/>
        </w:rPr>
        <w:t>Program Chair Undergraduate/Assistant Professor</w:t>
      </w:r>
      <w:r w:rsidR="00D7717A">
        <w:rPr>
          <w:rFonts w:cs="Times New Roman"/>
          <w:sz w:val="20"/>
          <w:szCs w:val="20"/>
        </w:rPr>
        <w:t xml:space="preserve">, </w:t>
      </w:r>
      <w:r w:rsidR="006078CB" w:rsidRPr="006078CB">
        <w:rPr>
          <w:rFonts w:cs="Times New Roman"/>
          <w:sz w:val="20"/>
          <w:szCs w:val="20"/>
        </w:rPr>
        <w:t>School of Nursing</w:t>
      </w:r>
      <w:r w:rsidR="006078CB">
        <w:rPr>
          <w:rFonts w:cs="Times New Roman"/>
          <w:sz w:val="20"/>
          <w:szCs w:val="20"/>
        </w:rPr>
        <w:t xml:space="preserve">, </w:t>
      </w:r>
      <w:r w:rsidR="00FF50F7" w:rsidRPr="00FF50F7">
        <w:rPr>
          <w:rFonts w:cs="Times New Roman"/>
          <w:sz w:val="20"/>
          <w:szCs w:val="20"/>
        </w:rPr>
        <w:t>Baptist Health Sciences University</w:t>
      </w:r>
      <w:r w:rsidR="00D818A6">
        <w:rPr>
          <w:rFonts w:cs="Times New Roman"/>
          <w:sz w:val="20"/>
          <w:szCs w:val="20"/>
        </w:rPr>
        <w:t xml:space="preserve">, </w:t>
      </w:r>
      <w:r w:rsidR="00FF50F7" w:rsidRPr="00FF50F7">
        <w:rPr>
          <w:rFonts w:cs="Times New Roman"/>
          <w:sz w:val="20"/>
          <w:szCs w:val="20"/>
        </w:rPr>
        <w:t>1003 Monroe Ave.,</w:t>
      </w:r>
      <w:r w:rsidR="00D818A6">
        <w:rPr>
          <w:rFonts w:cs="Times New Roman"/>
          <w:sz w:val="20"/>
          <w:szCs w:val="20"/>
        </w:rPr>
        <w:t xml:space="preserve"> </w:t>
      </w:r>
      <w:r w:rsidR="00FF50F7" w:rsidRPr="00FF50F7">
        <w:rPr>
          <w:rFonts w:cs="Times New Roman"/>
          <w:sz w:val="20"/>
          <w:szCs w:val="20"/>
        </w:rPr>
        <w:t xml:space="preserve">Memphis, </w:t>
      </w:r>
      <w:r w:rsidR="002C0929" w:rsidRPr="002C0929">
        <w:rPr>
          <w:rFonts w:cs="Times New Roman"/>
          <w:sz w:val="20"/>
          <w:szCs w:val="20"/>
        </w:rPr>
        <w:t xml:space="preserve">Tennessee </w:t>
      </w:r>
      <w:r w:rsidR="00FF50F7" w:rsidRPr="00FF50F7">
        <w:rPr>
          <w:rFonts w:cs="Times New Roman"/>
          <w:sz w:val="20"/>
          <w:szCs w:val="20"/>
        </w:rPr>
        <w:t>38104</w:t>
      </w:r>
      <w:r w:rsidR="004877B2">
        <w:rPr>
          <w:rFonts w:cs="Times New Roman"/>
          <w:sz w:val="20"/>
          <w:szCs w:val="20"/>
        </w:rPr>
        <w:t>, USA</w:t>
      </w:r>
    </w:p>
    <w:p w:rsidR="004877B2" w:rsidRPr="00F924C9" w:rsidRDefault="004877B2" w:rsidP="00892AF2">
      <w:pPr>
        <w:spacing w:line="240" w:lineRule="auto"/>
        <w:contextualSpacing/>
        <w:mirrorIndents/>
        <w:jc w:val="both"/>
        <w:rPr>
          <w:rFonts w:cs="Times New Roman"/>
          <w:sz w:val="20"/>
          <w:szCs w:val="20"/>
        </w:rPr>
      </w:pPr>
    </w:p>
    <w:p w:rsidR="00892AF2" w:rsidRDefault="00892AF2" w:rsidP="00892AF2">
      <w:pPr>
        <w:spacing w:line="240" w:lineRule="auto"/>
        <w:contextualSpacing/>
        <w:mirrorIndents/>
        <w:jc w:val="both"/>
        <w:rPr>
          <w:rFonts w:cs="Times New Roman"/>
          <w:sz w:val="20"/>
          <w:szCs w:val="20"/>
        </w:rPr>
      </w:pPr>
      <w:r w:rsidRPr="00F924C9">
        <w:rPr>
          <w:rFonts w:cs="Times New Roman"/>
          <w:b/>
          <w:sz w:val="20"/>
          <w:szCs w:val="20"/>
        </w:rPr>
        <w:t>How to cite this article:</w:t>
      </w:r>
      <w:r w:rsidRPr="00F924C9">
        <w:rPr>
          <w:rFonts w:cs="Times New Roman"/>
          <w:sz w:val="20"/>
          <w:szCs w:val="20"/>
        </w:rPr>
        <w:t xml:space="preserve"> </w:t>
      </w:r>
      <w:r w:rsidR="007C6248">
        <w:rPr>
          <w:rFonts w:cs="Times New Roman"/>
          <w:sz w:val="20"/>
          <w:szCs w:val="20"/>
        </w:rPr>
        <w:t>Boling A</w:t>
      </w:r>
      <w:r w:rsidR="005B5992" w:rsidRPr="005B5992">
        <w:rPr>
          <w:rFonts w:cs="Times New Roman"/>
          <w:sz w:val="20"/>
          <w:szCs w:val="20"/>
        </w:rPr>
        <w:t>, Cherry</w:t>
      </w:r>
      <w:r w:rsidR="007C6248">
        <w:rPr>
          <w:rFonts w:cs="Times New Roman"/>
          <w:sz w:val="20"/>
          <w:szCs w:val="20"/>
        </w:rPr>
        <w:t xml:space="preserve"> P</w:t>
      </w:r>
      <w:r w:rsidR="005B5992" w:rsidRPr="005B5992">
        <w:rPr>
          <w:rFonts w:cs="Times New Roman"/>
          <w:sz w:val="20"/>
          <w:szCs w:val="20"/>
        </w:rPr>
        <w:t xml:space="preserve">, Parker </w:t>
      </w:r>
      <w:r w:rsidR="007C6248">
        <w:rPr>
          <w:rFonts w:cs="Times New Roman"/>
          <w:sz w:val="20"/>
          <w:szCs w:val="20"/>
        </w:rPr>
        <w:t xml:space="preserve">R </w:t>
      </w:r>
      <w:r w:rsidRPr="00F924C9">
        <w:rPr>
          <w:rFonts w:cs="Times New Roman"/>
          <w:sz w:val="20"/>
          <w:szCs w:val="20"/>
        </w:rPr>
        <w:t xml:space="preserve">(2022) </w:t>
      </w:r>
      <w:r w:rsidR="00E85D35" w:rsidRPr="00E85D35">
        <w:rPr>
          <w:rFonts w:cs="Times New Roman"/>
          <w:sz w:val="20"/>
          <w:szCs w:val="20"/>
        </w:rPr>
        <w:t>Bridging the Gap between Nursing School and Professional Practice</w:t>
      </w:r>
      <w:r w:rsidRPr="00F924C9">
        <w:rPr>
          <w:rFonts w:cs="Times New Roman"/>
          <w:sz w:val="20"/>
          <w:szCs w:val="20"/>
        </w:rPr>
        <w:t>. Int J Nurs &amp; Healt Car Scie 02(06): 2022-12</w:t>
      </w:r>
      <w:r w:rsidR="00564632">
        <w:rPr>
          <w:rFonts w:cs="Times New Roman"/>
          <w:sz w:val="20"/>
          <w:szCs w:val="20"/>
        </w:rPr>
        <w:t>8</w:t>
      </w:r>
      <w:r w:rsidRPr="00F924C9">
        <w:rPr>
          <w:rFonts w:cs="Times New Roman"/>
          <w:sz w:val="20"/>
          <w:szCs w:val="20"/>
        </w:rPr>
        <w:t>.</w:t>
      </w:r>
    </w:p>
    <w:p w:rsidR="00564632" w:rsidRPr="00F924C9" w:rsidRDefault="00564632" w:rsidP="00892AF2">
      <w:pPr>
        <w:spacing w:line="240" w:lineRule="auto"/>
        <w:contextualSpacing/>
        <w:mirrorIndents/>
        <w:jc w:val="both"/>
        <w:rPr>
          <w:rFonts w:cs="Times New Roman"/>
          <w:sz w:val="20"/>
          <w:szCs w:val="20"/>
        </w:rPr>
      </w:pPr>
    </w:p>
    <w:p w:rsidR="006F3E15" w:rsidRDefault="00892AF2" w:rsidP="00276981">
      <w:pPr>
        <w:spacing w:line="240" w:lineRule="auto"/>
        <w:contextualSpacing/>
        <w:mirrorIndents/>
        <w:jc w:val="both"/>
        <w:rPr>
          <w:rFonts w:cs="Times New Roman"/>
          <w:sz w:val="20"/>
          <w:szCs w:val="20"/>
        </w:rPr>
      </w:pPr>
      <w:r w:rsidRPr="00F924C9">
        <w:rPr>
          <w:rFonts w:cs="Times New Roman"/>
          <w:b/>
          <w:sz w:val="20"/>
          <w:szCs w:val="20"/>
        </w:rPr>
        <w:t>Submission Date:</w:t>
      </w:r>
      <w:r w:rsidRPr="00F924C9">
        <w:rPr>
          <w:rFonts w:cs="Times New Roman"/>
          <w:sz w:val="20"/>
          <w:szCs w:val="20"/>
        </w:rPr>
        <w:t xml:space="preserve"> </w:t>
      </w:r>
      <w:r w:rsidR="00BB677F">
        <w:rPr>
          <w:rFonts w:cs="Times New Roman"/>
          <w:sz w:val="20"/>
          <w:szCs w:val="20"/>
        </w:rPr>
        <w:t>08 June</w:t>
      </w:r>
      <w:r w:rsidRPr="00F924C9">
        <w:rPr>
          <w:rFonts w:cs="Times New Roman"/>
          <w:sz w:val="20"/>
          <w:szCs w:val="20"/>
        </w:rPr>
        <w:t xml:space="preserve">, 2022; </w:t>
      </w:r>
      <w:r w:rsidRPr="00F924C9">
        <w:rPr>
          <w:rFonts w:cs="Times New Roman"/>
          <w:b/>
          <w:sz w:val="20"/>
          <w:szCs w:val="20"/>
        </w:rPr>
        <w:t>Accepted Date:</w:t>
      </w:r>
      <w:r w:rsidR="008A109F">
        <w:rPr>
          <w:rFonts w:cs="Times New Roman"/>
          <w:sz w:val="20"/>
          <w:szCs w:val="20"/>
        </w:rPr>
        <w:t xml:space="preserve"> 23</w:t>
      </w:r>
      <w:r w:rsidRPr="00F924C9">
        <w:rPr>
          <w:rFonts w:cs="Times New Roman"/>
          <w:sz w:val="20"/>
          <w:szCs w:val="20"/>
        </w:rPr>
        <w:t xml:space="preserve"> June, 2022; </w:t>
      </w:r>
      <w:r w:rsidRPr="00F924C9">
        <w:rPr>
          <w:rFonts w:cs="Times New Roman"/>
          <w:b/>
          <w:sz w:val="20"/>
          <w:szCs w:val="20"/>
        </w:rPr>
        <w:t>Published Online:</w:t>
      </w:r>
      <w:r w:rsidRPr="00F924C9">
        <w:rPr>
          <w:rFonts w:cs="Times New Roman"/>
          <w:sz w:val="20"/>
          <w:szCs w:val="20"/>
        </w:rPr>
        <w:t xml:space="preserve"> </w:t>
      </w:r>
      <w:bookmarkEnd w:id="0"/>
      <w:bookmarkEnd w:id="1"/>
      <w:bookmarkEnd w:id="2"/>
      <w:bookmarkEnd w:id="3"/>
      <w:bookmarkEnd w:id="4"/>
      <w:bookmarkEnd w:id="5"/>
      <w:bookmarkEnd w:id="6"/>
      <w:r>
        <w:rPr>
          <w:rFonts w:cs="Times New Roman"/>
          <w:sz w:val="20"/>
          <w:szCs w:val="20"/>
        </w:rPr>
        <w:t>2</w:t>
      </w:r>
      <w:r w:rsidR="00776202">
        <w:rPr>
          <w:rFonts w:cs="Times New Roman"/>
          <w:sz w:val="20"/>
          <w:szCs w:val="20"/>
        </w:rPr>
        <w:t>8</w:t>
      </w:r>
      <w:r w:rsidRPr="00F924C9">
        <w:rPr>
          <w:rFonts w:cs="Times New Roman"/>
          <w:sz w:val="20"/>
          <w:szCs w:val="20"/>
        </w:rPr>
        <w:t xml:space="preserve"> June, 2022</w:t>
      </w:r>
      <w:bookmarkStart w:id="7" w:name="_m1mrl5rb9kiu" w:colFirst="0" w:colLast="0"/>
      <w:bookmarkEnd w:id="7"/>
    </w:p>
    <w:p w:rsidR="006A3B95" w:rsidRPr="00276981" w:rsidRDefault="006A3B95" w:rsidP="00276981">
      <w:pPr>
        <w:spacing w:line="240" w:lineRule="auto"/>
        <w:contextualSpacing/>
        <w:mirrorIndents/>
        <w:jc w:val="both"/>
        <w:rPr>
          <w:rFonts w:cs="Times New Roman"/>
          <w:b/>
          <w:sz w:val="20"/>
          <w:szCs w:val="20"/>
        </w:rPr>
      </w:pPr>
    </w:p>
    <w:p w:rsidR="006F3E15" w:rsidRPr="00F06430" w:rsidRDefault="006F3E15" w:rsidP="00276981">
      <w:pPr>
        <w:spacing w:line="240" w:lineRule="auto"/>
        <w:contextualSpacing/>
        <w:mirrorIndents/>
        <w:jc w:val="both"/>
        <w:rPr>
          <w:rFonts w:cs="Times New Roman"/>
          <w:b/>
          <w:sz w:val="22"/>
        </w:rPr>
      </w:pPr>
      <w:r w:rsidRPr="00F06430">
        <w:rPr>
          <w:rFonts w:cs="Times New Roman"/>
          <w:b/>
          <w:sz w:val="22"/>
        </w:rPr>
        <w:t>Abstract</w:t>
      </w:r>
    </w:p>
    <w:p w:rsidR="006F3E15" w:rsidRDefault="006F3E15" w:rsidP="00276981">
      <w:pPr>
        <w:spacing w:line="240" w:lineRule="auto"/>
        <w:contextualSpacing/>
        <w:mirrorIndents/>
        <w:jc w:val="both"/>
        <w:rPr>
          <w:rFonts w:cs="Times New Roman"/>
          <w:sz w:val="20"/>
          <w:szCs w:val="20"/>
        </w:rPr>
      </w:pPr>
    </w:p>
    <w:p w:rsidR="00BE219C" w:rsidRDefault="00F55668" w:rsidP="00276981">
      <w:pPr>
        <w:spacing w:line="240" w:lineRule="auto"/>
        <w:contextualSpacing/>
        <w:mirrorIndents/>
        <w:jc w:val="both"/>
        <w:rPr>
          <w:rFonts w:cs="Times New Roman"/>
          <w:sz w:val="20"/>
          <w:szCs w:val="20"/>
        </w:rPr>
      </w:pPr>
      <w:r w:rsidRPr="00276981">
        <w:rPr>
          <w:rFonts w:cs="Times New Roman"/>
          <w:sz w:val="20"/>
          <w:szCs w:val="20"/>
        </w:rPr>
        <w:t>While it is a milestone well-worth celebrating, the period of transition from nursing school to professional practice has long been seen as a traumatic and stressful experience for new graduates. The end result has been an increase in registered nurse turn-over during the first year of professional practice which impacts the health care facility’s ability to consistently deliver safe, quality care. Although there have been improvements in nursing education and enhancements to the onboarding process for new graduates to facilitate the transition, additional opportunities to prepare nurses for the “</w:t>
      </w:r>
      <w:r w:rsidR="00F80396" w:rsidRPr="00276981">
        <w:rPr>
          <w:rFonts w:cs="Times New Roman"/>
          <w:sz w:val="20"/>
          <w:szCs w:val="20"/>
        </w:rPr>
        <w:t>Hand Off</w:t>
      </w:r>
      <w:r w:rsidRPr="00276981">
        <w:rPr>
          <w:rFonts w:cs="Times New Roman"/>
          <w:sz w:val="20"/>
          <w:szCs w:val="20"/>
        </w:rPr>
        <w:t>” from education to practice, still exist. In 2015, the turnover rate of registered nurse graduates in the first year of practice was approximately 30%. This attrition rate represents a significant negative impact to health care facilities financially and in terms of the quality of patient care. This article will describe an academia-practice partnership that was created to address the stressful transition from nursing sch</w:t>
      </w:r>
      <w:r w:rsidR="00BE219C">
        <w:rPr>
          <w:rFonts w:cs="Times New Roman"/>
          <w:sz w:val="20"/>
          <w:szCs w:val="20"/>
        </w:rPr>
        <w:t>ool into professional practice.</w:t>
      </w:r>
    </w:p>
    <w:p w:rsidR="008944B3" w:rsidRPr="00276981" w:rsidRDefault="008944B3" w:rsidP="00276981">
      <w:pPr>
        <w:spacing w:line="240" w:lineRule="auto"/>
        <w:contextualSpacing/>
        <w:mirrorIndents/>
        <w:jc w:val="both"/>
        <w:rPr>
          <w:rFonts w:cs="Times New Roman"/>
          <w:sz w:val="20"/>
          <w:szCs w:val="20"/>
        </w:rPr>
      </w:pPr>
    </w:p>
    <w:p w:rsidR="00416E04" w:rsidRPr="008E4F7F" w:rsidRDefault="00416E04" w:rsidP="00276981">
      <w:pPr>
        <w:spacing w:line="240" w:lineRule="auto"/>
        <w:contextualSpacing/>
        <w:mirrorIndents/>
        <w:jc w:val="both"/>
        <w:rPr>
          <w:rFonts w:cs="Times New Roman"/>
          <w:b/>
          <w:sz w:val="22"/>
        </w:rPr>
      </w:pPr>
      <w:r w:rsidRPr="008E4F7F">
        <w:rPr>
          <w:rFonts w:cs="Times New Roman"/>
          <w:b/>
          <w:sz w:val="22"/>
        </w:rPr>
        <w:t>Introduction</w:t>
      </w:r>
    </w:p>
    <w:p w:rsidR="00276981" w:rsidRPr="00276981" w:rsidRDefault="00276981" w:rsidP="00276981">
      <w:pPr>
        <w:spacing w:line="240" w:lineRule="auto"/>
        <w:contextualSpacing/>
        <w:mirrorIndents/>
        <w:jc w:val="both"/>
        <w:rPr>
          <w:rFonts w:cs="Times New Roman"/>
          <w:sz w:val="20"/>
          <w:szCs w:val="20"/>
        </w:rPr>
      </w:pPr>
    </w:p>
    <w:p w:rsidR="00CC209A" w:rsidRDefault="00416E04" w:rsidP="00276981">
      <w:pPr>
        <w:spacing w:line="240" w:lineRule="auto"/>
        <w:contextualSpacing/>
        <w:mirrorIndents/>
        <w:jc w:val="both"/>
        <w:rPr>
          <w:rFonts w:cs="Times New Roman"/>
          <w:sz w:val="20"/>
          <w:szCs w:val="20"/>
        </w:rPr>
      </w:pPr>
      <w:r w:rsidRPr="00276981">
        <w:rPr>
          <w:rFonts w:cs="Times New Roman"/>
          <w:sz w:val="20"/>
          <w:szCs w:val="20"/>
        </w:rPr>
        <w:t xml:space="preserve">Professional socialization of nurses has been discussed in the literature for several years. This term refers to the </w:t>
      </w:r>
      <w:proofErr w:type="gramStart"/>
      <w:r w:rsidRPr="00276981">
        <w:rPr>
          <w:rFonts w:cs="Times New Roman"/>
          <w:sz w:val="20"/>
          <w:szCs w:val="20"/>
        </w:rPr>
        <w:t>process</w:t>
      </w:r>
      <w:proofErr w:type="gramEnd"/>
      <w:r w:rsidRPr="00276981">
        <w:rPr>
          <w:rFonts w:cs="Times New Roman"/>
          <w:sz w:val="20"/>
          <w:szCs w:val="20"/>
        </w:rPr>
        <w:t xml:space="preserve"> through which novice nurses merge into the practice environment to become pr</w:t>
      </w:r>
      <w:r w:rsidR="00EB57C6" w:rsidRPr="00276981">
        <w:rPr>
          <w:rFonts w:cs="Times New Roman"/>
          <w:sz w:val="20"/>
          <w:szCs w:val="20"/>
        </w:rPr>
        <w:t>ofessional nurses</w:t>
      </w:r>
      <w:r w:rsidR="006C0DA5" w:rsidRPr="00276981">
        <w:rPr>
          <w:rFonts w:cs="Times New Roman"/>
          <w:sz w:val="20"/>
          <w:szCs w:val="20"/>
        </w:rPr>
        <w:t>.</w:t>
      </w:r>
      <w:r w:rsidR="00EB57C6" w:rsidRPr="00276981">
        <w:rPr>
          <w:rFonts w:cs="Times New Roman"/>
          <w:sz w:val="20"/>
          <w:szCs w:val="20"/>
        </w:rPr>
        <w:t xml:space="preserve"> Mooney </w:t>
      </w:r>
      <w:r w:rsidR="00FF628B" w:rsidRPr="00FF628B">
        <w:rPr>
          <w:rFonts w:cs="Times New Roman"/>
          <w:color w:val="FF0000"/>
          <w:sz w:val="20"/>
          <w:szCs w:val="20"/>
        </w:rPr>
        <w:t>[1]</w:t>
      </w:r>
      <w:r w:rsidR="00FF628B">
        <w:rPr>
          <w:rFonts w:cs="Times New Roman"/>
          <w:sz w:val="20"/>
          <w:szCs w:val="20"/>
        </w:rPr>
        <w:t xml:space="preserve"> </w:t>
      </w:r>
      <w:r w:rsidR="0010227A">
        <w:rPr>
          <w:rFonts w:cs="Times New Roman"/>
          <w:sz w:val="20"/>
          <w:szCs w:val="20"/>
        </w:rPr>
        <w:t>noted “T</w:t>
      </w:r>
      <w:r w:rsidRPr="00276981">
        <w:rPr>
          <w:rFonts w:cs="Times New Roman"/>
          <w:sz w:val="20"/>
          <w:szCs w:val="20"/>
        </w:rPr>
        <w:t xml:space="preserve">hat these processes are reflective of ritualistic practices, hierarchical attitudes and strict observance to the rules”. Often the problems associated with this transition of nursing students to professional nursing practice have been acknowledged as traumatic and stressful, which still remains true today. Although there have been improvements in nursing education to bridge this gap, increased opportunities to prepare nurses for this transition, or the “ </w:t>
      </w:r>
      <w:r w:rsidR="0010227A" w:rsidRPr="00276981">
        <w:rPr>
          <w:rFonts w:cs="Times New Roman"/>
          <w:sz w:val="20"/>
          <w:szCs w:val="20"/>
        </w:rPr>
        <w:t>Hand Off</w:t>
      </w:r>
      <w:r w:rsidRPr="00276981">
        <w:rPr>
          <w:rFonts w:cs="Times New Roman"/>
          <w:sz w:val="20"/>
          <w:szCs w:val="20"/>
        </w:rPr>
        <w:t>” from education to prac</w:t>
      </w:r>
      <w:r w:rsidR="00C349EC">
        <w:rPr>
          <w:rFonts w:cs="Times New Roman"/>
          <w:sz w:val="20"/>
          <w:szCs w:val="20"/>
        </w:rPr>
        <w:t xml:space="preserve">tice, still exists </w:t>
      </w:r>
      <w:r w:rsidR="00C349EC" w:rsidRPr="00C349EC">
        <w:rPr>
          <w:rFonts w:cs="Times New Roman"/>
          <w:color w:val="FF0000"/>
          <w:sz w:val="20"/>
          <w:szCs w:val="20"/>
        </w:rPr>
        <w:t>[</w:t>
      </w:r>
      <w:r w:rsidR="00EB57C6" w:rsidRPr="00C349EC">
        <w:rPr>
          <w:rFonts w:cs="Times New Roman"/>
          <w:color w:val="FF0000"/>
          <w:sz w:val="20"/>
          <w:szCs w:val="20"/>
        </w:rPr>
        <w:t>1</w:t>
      </w:r>
      <w:r w:rsidR="00C349EC" w:rsidRPr="00C349EC">
        <w:rPr>
          <w:rFonts w:cs="Times New Roman"/>
          <w:color w:val="FF0000"/>
          <w:sz w:val="20"/>
          <w:szCs w:val="20"/>
        </w:rPr>
        <w:t>]</w:t>
      </w:r>
      <w:r w:rsidRPr="00276981">
        <w:rPr>
          <w:rFonts w:cs="Times New Roman"/>
          <w:sz w:val="20"/>
          <w:szCs w:val="20"/>
        </w:rPr>
        <w:t>. In this time of unprecedented change in healthcare, as reflect</w:t>
      </w:r>
      <w:r w:rsidR="00EB57C6" w:rsidRPr="00276981">
        <w:rPr>
          <w:rFonts w:cs="Times New Roman"/>
          <w:sz w:val="20"/>
          <w:szCs w:val="20"/>
        </w:rPr>
        <w:t xml:space="preserve">ed by Kavanagh and Szweda </w:t>
      </w:r>
      <w:r w:rsidR="00A16F73" w:rsidRPr="00C349EC">
        <w:rPr>
          <w:rFonts w:cs="Times New Roman"/>
          <w:color w:val="FF0000"/>
          <w:sz w:val="20"/>
          <w:szCs w:val="20"/>
        </w:rPr>
        <w:t>[</w:t>
      </w:r>
      <w:r w:rsidR="00A16F73">
        <w:rPr>
          <w:rFonts w:cs="Times New Roman"/>
          <w:color w:val="FF0000"/>
          <w:sz w:val="20"/>
          <w:szCs w:val="20"/>
        </w:rPr>
        <w:t>2</w:t>
      </w:r>
      <w:r w:rsidR="00A16F73" w:rsidRPr="00C349EC">
        <w:rPr>
          <w:rFonts w:cs="Times New Roman"/>
          <w:color w:val="FF0000"/>
          <w:sz w:val="20"/>
          <w:szCs w:val="20"/>
        </w:rPr>
        <w:t>]</w:t>
      </w:r>
      <w:r w:rsidRPr="00276981">
        <w:rPr>
          <w:rFonts w:cs="Times New Roman"/>
          <w:sz w:val="20"/>
          <w:szCs w:val="20"/>
        </w:rPr>
        <w:t xml:space="preserve">, </w:t>
      </w:r>
      <w:r w:rsidR="005832B4">
        <w:rPr>
          <w:rFonts w:cs="Times New Roman"/>
          <w:sz w:val="20"/>
          <w:szCs w:val="20"/>
        </w:rPr>
        <w:t>“D</w:t>
      </w:r>
      <w:r w:rsidRPr="00276981">
        <w:rPr>
          <w:rFonts w:cs="Times New Roman"/>
          <w:sz w:val="20"/>
          <w:szCs w:val="20"/>
        </w:rPr>
        <w:t>elivering on the promise of safe, high quality patient care requires a highly engaged and competent team”. Nurses play a critical role in the success of the patient experiences and positi</w:t>
      </w:r>
      <w:r w:rsidR="00306A55">
        <w:rPr>
          <w:rFonts w:cs="Times New Roman"/>
          <w:sz w:val="20"/>
          <w:szCs w:val="20"/>
        </w:rPr>
        <w:t>ve patient outcomes. However, “T</w:t>
      </w:r>
      <w:r w:rsidRPr="00276981">
        <w:rPr>
          <w:rFonts w:cs="Times New Roman"/>
          <w:sz w:val="20"/>
          <w:szCs w:val="20"/>
        </w:rPr>
        <w:t>he widening preparation-to-practice gap challenges the ability of health care systems to deliver consistent, safe, quality</w:t>
      </w:r>
      <w:r w:rsidR="00EB57C6" w:rsidRPr="00276981">
        <w:rPr>
          <w:rFonts w:cs="Times New Roman"/>
          <w:sz w:val="20"/>
          <w:szCs w:val="20"/>
        </w:rPr>
        <w:t xml:space="preserve"> care” </w:t>
      </w:r>
      <w:r w:rsidR="00455B57" w:rsidRPr="00C349EC">
        <w:rPr>
          <w:rFonts w:cs="Times New Roman"/>
          <w:color w:val="FF0000"/>
          <w:sz w:val="20"/>
          <w:szCs w:val="20"/>
        </w:rPr>
        <w:t>[</w:t>
      </w:r>
      <w:r w:rsidR="00455B57">
        <w:rPr>
          <w:rFonts w:cs="Times New Roman"/>
          <w:color w:val="FF0000"/>
          <w:sz w:val="20"/>
          <w:szCs w:val="20"/>
        </w:rPr>
        <w:t>2</w:t>
      </w:r>
      <w:r w:rsidR="00455B57" w:rsidRPr="00C349EC">
        <w:rPr>
          <w:rFonts w:cs="Times New Roman"/>
          <w:color w:val="FF0000"/>
          <w:sz w:val="20"/>
          <w:szCs w:val="20"/>
        </w:rPr>
        <w:t>]</w:t>
      </w:r>
      <w:r w:rsidRPr="00276981">
        <w:rPr>
          <w:rFonts w:cs="Times New Roman"/>
          <w:sz w:val="20"/>
          <w:szCs w:val="20"/>
        </w:rPr>
        <w:t>. Baptist College of Health Sciences nursing faculty plan to partner with Baptist Hospital-Memphis in an effort to: 1) narrow that preparation-to-practice gap, and 2) improve the socialization of the graduate nurse by introducing the customs and daily rituals of professional practice earlier in the graduating senior’s preparation. Introducing these customs and rituals early in the student’s practice experience will reduce dissatisfaction and stress, and improve retention of the new graduate nurse during the onboarding</w:t>
      </w:r>
      <w:r w:rsidR="00FF628B">
        <w:rPr>
          <w:rFonts w:cs="Times New Roman"/>
          <w:sz w:val="20"/>
          <w:szCs w:val="20"/>
        </w:rPr>
        <w:t xml:space="preserve"> process.</w:t>
      </w:r>
    </w:p>
    <w:p w:rsidR="008E4F7F" w:rsidRPr="00276981" w:rsidRDefault="008E4F7F" w:rsidP="00276981">
      <w:pPr>
        <w:spacing w:line="240" w:lineRule="auto"/>
        <w:contextualSpacing/>
        <w:mirrorIndents/>
        <w:jc w:val="both"/>
        <w:rPr>
          <w:rFonts w:cs="Times New Roman"/>
          <w:sz w:val="20"/>
          <w:szCs w:val="20"/>
        </w:rPr>
      </w:pPr>
    </w:p>
    <w:p w:rsidR="00276981" w:rsidRDefault="00416E04" w:rsidP="00276981">
      <w:pPr>
        <w:spacing w:line="240" w:lineRule="auto"/>
        <w:contextualSpacing/>
        <w:mirrorIndents/>
        <w:jc w:val="both"/>
        <w:rPr>
          <w:rFonts w:cs="Times New Roman"/>
          <w:sz w:val="20"/>
          <w:szCs w:val="20"/>
        </w:rPr>
      </w:pPr>
      <w:r w:rsidRPr="00276981">
        <w:rPr>
          <w:rFonts w:cs="Times New Roman"/>
          <w:sz w:val="20"/>
          <w:szCs w:val="20"/>
        </w:rPr>
        <w:t>In 2017, the nursing faculty at Baptist College of Health Sciences in Memphis, Tennessee partnered with nurse leaders and staff nurse preceptors at Baptist Hospital-Memphis to enact a project that would: 1) narrow that preparation-to-practice gap, and 2) improve the socialization of the graduate nurse by introducing the customs and daily rituals of professional practice during the students’ Senior Nursing Capstone course.</w:t>
      </w:r>
      <w:r w:rsidR="00F275D8">
        <w:rPr>
          <w:rFonts w:cs="Times New Roman"/>
          <w:sz w:val="20"/>
          <w:szCs w:val="20"/>
        </w:rPr>
        <w:t xml:space="preserve"> </w:t>
      </w:r>
      <w:r w:rsidRPr="00276981">
        <w:rPr>
          <w:rFonts w:cs="Times New Roman"/>
          <w:sz w:val="20"/>
          <w:szCs w:val="20"/>
        </w:rPr>
        <w:t xml:space="preserve">The ultimate goals of the project were to reduce dissatisfaction and stress experienced by new graduates and to improve retention of the new graduate nurse during the onboarding process. The project that became known as TIPS (Transition into </w:t>
      </w:r>
      <w:r w:rsidRPr="00276981">
        <w:rPr>
          <w:rFonts w:cs="Times New Roman"/>
          <w:sz w:val="20"/>
          <w:szCs w:val="20"/>
        </w:rPr>
        <w:lastRenderedPageBreak/>
        <w:t xml:space="preserve">Practice Socialization) was funded through a 2017 Promise of Nursing grant that was administered by the Foundation of National Student Nurses’ Association and the Tennessee Hospital Association. </w:t>
      </w:r>
    </w:p>
    <w:p w:rsidR="008E4F7F" w:rsidRPr="00276981" w:rsidRDefault="008E4F7F" w:rsidP="00276981">
      <w:pPr>
        <w:spacing w:line="240" w:lineRule="auto"/>
        <w:contextualSpacing/>
        <w:mirrorIndents/>
        <w:jc w:val="both"/>
        <w:rPr>
          <w:rFonts w:cs="Times New Roman"/>
          <w:sz w:val="20"/>
          <w:szCs w:val="20"/>
        </w:rPr>
      </w:pPr>
    </w:p>
    <w:p w:rsidR="004D4D27" w:rsidRDefault="004D4D27" w:rsidP="00276981">
      <w:pPr>
        <w:spacing w:line="240" w:lineRule="auto"/>
        <w:contextualSpacing/>
        <w:mirrorIndents/>
        <w:jc w:val="both"/>
        <w:rPr>
          <w:rFonts w:cs="Times New Roman"/>
          <w:sz w:val="20"/>
          <w:szCs w:val="20"/>
        </w:rPr>
      </w:pPr>
      <w:r w:rsidRPr="00276981">
        <w:rPr>
          <w:rFonts w:cs="Times New Roman"/>
          <w:sz w:val="20"/>
          <w:szCs w:val="20"/>
        </w:rPr>
        <w:t>The proposal addressed several of the goals and objectives of the 2017 Promise of Nursing Grant. The goals and objectives the proposal satisfies were mutually agreed upon by Baptist College and Baptist Hospital-Memphis.</w:t>
      </w:r>
      <w:r w:rsidR="00F275D8">
        <w:rPr>
          <w:rFonts w:cs="Times New Roman"/>
          <w:sz w:val="20"/>
          <w:szCs w:val="20"/>
        </w:rPr>
        <w:t xml:space="preserve"> </w:t>
      </w:r>
    </w:p>
    <w:p w:rsidR="00276981" w:rsidRPr="00276981" w:rsidRDefault="00276981" w:rsidP="00276981">
      <w:pPr>
        <w:spacing w:line="240" w:lineRule="auto"/>
        <w:contextualSpacing/>
        <w:mirrorIndents/>
        <w:jc w:val="both"/>
        <w:rPr>
          <w:rFonts w:cs="Times New Roman"/>
          <w:sz w:val="20"/>
          <w:szCs w:val="20"/>
        </w:rPr>
      </w:pPr>
    </w:p>
    <w:p w:rsidR="004D4D27" w:rsidRPr="007D3CAC" w:rsidRDefault="004D4D27" w:rsidP="00276981">
      <w:pPr>
        <w:spacing w:line="240" w:lineRule="auto"/>
        <w:contextualSpacing/>
        <w:mirrorIndents/>
        <w:jc w:val="both"/>
        <w:rPr>
          <w:rFonts w:cs="Times New Roman"/>
          <w:sz w:val="20"/>
          <w:szCs w:val="20"/>
        </w:rPr>
      </w:pPr>
      <w:r w:rsidRPr="007D3CAC">
        <w:rPr>
          <w:rFonts w:cs="Times New Roman"/>
          <w:sz w:val="20"/>
          <w:szCs w:val="20"/>
        </w:rPr>
        <w:t xml:space="preserve">Defining </w:t>
      </w:r>
      <w:r w:rsidR="00CC209A" w:rsidRPr="007D3CAC">
        <w:rPr>
          <w:rFonts w:cs="Times New Roman"/>
          <w:sz w:val="20"/>
          <w:szCs w:val="20"/>
        </w:rPr>
        <w:t xml:space="preserve">the </w:t>
      </w:r>
      <w:r w:rsidRPr="007D3CAC">
        <w:rPr>
          <w:rFonts w:cs="Times New Roman"/>
          <w:sz w:val="20"/>
          <w:szCs w:val="20"/>
        </w:rPr>
        <w:t xml:space="preserve">Workforce </w:t>
      </w:r>
      <w:r w:rsidR="00B84908" w:rsidRPr="007D3CAC">
        <w:rPr>
          <w:rFonts w:cs="Times New Roman"/>
          <w:sz w:val="20"/>
          <w:szCs w:val="20"/>
        </w:rPr>
        <w:t>o</w:t>
      </w:r>
      <w:r w:rsidR="00CC209A" w:rsidRPr="007D3CAC">
        <w:rPr>
          <w:rFonts w:cs="Times New Roman"/>
          <w:sz w:val="20"/>
          <w:szCs w:val="20"/>
        </w:rPr>
        <w:t xml:space="preserve">f </w:t>
      </w:r>
      <w:r w:rsidR="00B84908" w:rsidRPr="007D3CAC">
        <w:rPr>
          <w:rFonts w:cs="Times New Roman"/>
          <w:sz w:val="20"/>
          <w:szCs w:val="20"/>
        </w:rPr>
        <w:t>t</w:t>
      </w:r>
      <w:r w:rsidR="00CC209A" w:rsidRPr="007D3CAC">
        <w:rPr>
          <w:rFonts w:cs="Times New Roman"/>
          <w:sz w:val="20"/>
          <w:szCs w:val="20"/>
        </w:rPr>
        <w:t xml:space="preserve">he </w:t>
      </w:r>
      <w:r w:rsidRPr="007D3CAC">
        <w:rPr>
          <w:rFonts w:cs="Times New Roman"/>
          <w:sz w:val="20"/>
          <w:szCs w:val="20"/>
        </w:rPr>
        <w:t xml:space="preserve">Future </w:t>
      </w:r>
      <w:r w:rsidR="006011AF" w:rsidRPr="007D3CAC">
        <w:rPr>
          <w:rFonts w:cs="Times New Roman"/>
          <w:sz w:val="20"/>
          <w:szCs w:val="20"/>
        </w:rPr>
        <w:t>t</w:t>
      </w:r>
      <w:r w:rsidR="00CC209A" w:rsidRPr="007D3CAC">
        <w:rPr>
          <w:rFonts w:cs="Times New Roman"/>
          <w:sz w:val="20"/>
          <w:szCs w:val="20"/>
        </w:rPr>
        <w:t>o Include</w:t>
      </w:r>
      <w:r w:rsidR="008E4F7F">
        <w:rPr>
          <w:rFonts w:cs="Times New Roman"/>
          <w:sz w:val="20"/>
          <w:szCs w:val="20"/>
        </w:rPr>
        <w:t>:</w:t>
      </w:r>
    </w:p>
    <w:p w:rsidR="00276981" w:rsidRPr="00276981" w:rsidRDefault="00276981" w:rsidP="00276981">
      <w:pPr>
        <w:spacing w:line="240" w:lineRule="auto"/>
        <w:contextualSpacing/>
        <w:mirrorIndents/>
        <w:jc w:val="both"/>
        <w:rPr>
          <w:rFonts w:cs="Times New Roman"/>
          <w:sz w:val="20"/>
          <w:szCs w:val="20"/>
        </w:rPr>
      </w:pPr>
    </w:p>
    <w:p w:rsidR="0079044F" w:rsidRPr="003035AC" w:rsidRDefault="004D4D27" w:rsidP="003035AC">
      <w:pPr>
        <w:pStyle w:val="ListParagraph"/>
        <w:numPr>
          <w:ilvl w:val="0"/>
          <w:numId w:val="5"/>
        </w:numPr>
        <w:spacing w:line="240" w:lineRule="auto"/>
        <w:mirrorIndents/>
        <w:jc w:val="both"/>
        <w:rPr>
          <w:rFonts w:cs="Times New Roman"/>
          <w:sz w:val="20"/>
          <w:szCs w:val="20"/>
        </w:rPr>
      </w:pPr>
      <w:r w:rsidRPr="003035AC">
        <w:rPr>
          <w:rFonts w:cs="Times New Roman"/>
          <w:sz w:val="20"/>
          <w:szCs w:val="20"/>
        </w:rPr>
        <w:t>Identifying the required competencies for the changing health care environment and implementing those competencies within the nursing curriculum.</w:t>
      </w:r>
    </w:p>
    <w:p w:rsidR="00B31406" w:rsidRPr="003035AC" w:rsidRDefault="004D4D27" w:rsidP="003035AC">
      <w:pPr>
        <w:pStyle w:val="ListParagraph"/>
        <w:numPr>
          <w:ilvl w:val="0"/>
          <w:numId w:val="5"/>
        </w:numPr>
        <w:spacing w:line="240" w:lineRule="auto"/>
        <w:mirrorIndents/>
        <w:jc w:val="both"/>
        <w:rPr>
          <w:rFonts w:cs="Times New Roman"/>
          <w:sz w:val="20"/>
          <w:szCs w:val="20"/>
        </w:rPr>
      </w:pPr>
      <w:r w:rsidRPr="003035AC">
        <w:rPr>
          <w:rFonts w:cs="Times New Roman"/>
          <w:sz w:val="20"/>
          <w:szCs w:val="20"/>
        </w:rPr>
        <w:t xml:space="preserve">Aligning the competencies of graduates with the </w:t>
      </w:r>
      <w:r w:rsidR="00AF3AA4" w:rsidRPr="003035AC">
        <w:rPr>
          <w:rFonts w:cs="Times New Roman"/>
          <w:sz w:val="20"/>
          <w:szCs w:val="20"/>
        </w:rPr>
        <w:t>needs of the clinical facility through professionalism/a</w:t>
      </w:r>
      <w:r w:rsidRPr="003035AC">
        <w:rPr>
          <w:rFonts w:cs="Times New Roman"/>
          <w:sz w:val="20"/>
          <w:szCs w:val="20"/>
        </w:rPr>
        <w:t>ccountability</w:t>
      </w:r>
      <w:r w:rsidR="00AF3AA4" w:rsidRPr="003035AC">
        <w:rPr>
          <w:rFonts w:cs="Times New Roman"/>
          <w:sz w:val="20"/>
          <w:szCs w:val="20"/>
        </w:rPr>
        <w:t>, effective Communication, l</w:t>
      </w:r>
      <w:r w:rsidRPr="003035AC">
        <w:rPr>
          <w:rFonts w:cs="Times New Roman"/>
          <w:sz w:val="20"/>
          <w:szCs w:val="20"/>
        </w:rPr>
        <w:t>eadership</w:t>
      </w:r>
      <w:r w:rsidR="00AF3AA4" w:rsidRPr="003035AC">
        <w:rPr>
          <w:rFonts w:cs="Times New Roman"/>
          <w:sz w:val="20"/>
          <w:szCs w:val="20"/>
        </w:rPr>
        <w:t xml:space="preserve"> in ensuring Quality and Safety, and i</w:t>
      </w:r>
      <w:r w:rsidRPr="003035AC">
        <w:rPr>
          <w:rFonts w:cs="Times New Roman"/>
          <w:sz w:val="20"/>
          <w:szCs w:val="20"/>
        </w:rPr>
        <w:t xml:space="preserve">nnovative </w:t>
      </w:r>
      <w:r w:rsidR="00AF3AA4" w:rsidRPr="003035AC">
        <w:rPr>
          <w:rFonts w:cs="Times New Roman"/>
          <w:sz w:val="20"/>
          <w:szCs w:val="20"/>
        </w:rPr>
        <w:t>teaching a</w:t>
      </w:r>
      <w:r w:rsidRPr="003035AC">
        <w:rPr>
          <w:rFonts w:cs="Times New Roman"/>
          <w:sz w:val="20"/>
          <w:szCs w:val="20"/>
        </w:rPr>
        <w:t>pproaches</w:t>
      </w:r>
      <w:r w:rsidR="00AF3AA4" w:rsidRPr="003035AC">
        <w:rPr>
          <w:rFonts w:cs="Times New Roman"/>
          <w:sz w:val="20"/>
          <w:szCs w:val="20"/>
        </w:rPr>
        <w:t>.</w:t>
      </w:r>
    </w:p>
    <w:p w:rsidR="00AF3AA4" w:rsidRPr="003035AC" w:rsidRDefault="00AF3AA4" w:rsidP="003035AC">
      <w:pPr>
        <w:pStyle w:val="ListParagraph"/>
        <w:numPr>
          <w:ilvl w:val="0"/>
          <w:numId w:val="5"/>
        </w:numPr>
        <w:spacing w:line="240" w:lineRule="auto"/>
        <w:mirrorIndents/>
        <w:jc w:val="both"/>
        <w:rPr>
          <w:rFonts w:cs="Times New Roman"/>
          <w:sz w:val="20"/>
          <w:szCs w:val="20"/>
        </w:rPr>
      </w:pPr>
      <w:r w:rsidRPr="003035AC">
        <w:rPr>
          <w:rFonts w:cs="Times New Roman"/>
          <w:sz w:val="20"/>
          <w:szCs w:val="20"/>
        </w:rPr>
        <w:t>Recruitment and retention by i</w:t>
      </w:r>
      <w:r w:rsidR="004D4D27" w:rsidRPr="003035AC">
        <w:rPr>
          <w:rFonts w:cs="Times New Roman"/>
          <w:sz w:val="20"/>
          <w:szCs w:val="20"/>
        </w:rPr>
        <w:t>mproving the onboarding process to help new graduates transition into practice.</w:t>
      </w:r>
    </w:p>
    <w:p w:rsidR="00B31406" w:rsidRPr="003035AC" w:rsidRDefault="004D4D27" w:rsidP="003035AC">
      <w:pPr>
        <w:pStyle w:val="ListParagraph"/>
        <w:numPr>
          <w:ilvl w:val="0"/>
          <w:numId w:val="5"/>
        </w:numPr>
        <w:spacing w:line="240" w:lineRule="auto"/>
        <w:mirrorIndents/>
        <w:jc w:val="both"/>
        <w:rPr>
          <w:rFonts w:cs="Times New Roman"/>
          <w:sz w:val="20"/>
          <w:szCs w:val="20"/>
        </w:rPr>
      </w:pPr>
      <w:r w:rsidRPr="003035AC">
        <w:rPr>
          <w:rFonts w:cs="Times New Roman"/>
          <w:sz w:val="20"/>
          <w:szCs w:val="20"/>
        </w:rPr>
        <w:t>Collaboration</w:t>
      </w:r>
      <w:r w:rsidR="00AF3AA4" w:rsidRPr="003035AC">
        <w:rPr>
          <w:rFonts w:cs="Times New Roman"/>
          <w:sz w:val="20"/>
          <w:szCs w:val="20"/>
        </w:rPr>
        <w:t xml:space="preserve"> between Academia and Practice with s</w:t>
      </w:r>
      <w:r w:rsidRPr="003035AC">
        <w:rPr>
          <w:rFonts w:cs="Times New Roman"/>
          <w:sz w:val="20"/>
          <w:szCs w:val="20"/>
        </w:rPr>
        <w:t>trategies to prepare nursing workforce for</w:t>
      </w:r>
      <w:r w:rsidR="00AF3AA4" w:rsidRPr="003035AC">
        <w:rPr>
          <w:rFonts w:cs="Times New Roman"/>
          <w:sz w:val="20"/>
          <w:szCs w:val="20"/>
        </w:rPr>
        <w:t xml:space="preserve"> </w:t>
      </w:r>
      <w:r w:rsidRPr="003035AC">
        <w:rPr>
          <w:rFonts w:cs="Times New Roman"/>
          <w:sz w:val="20"/>
          <w:szCs w:val="20"/>
        </w:rPr>
        <w:t>the cult</w:t>
      </w:r>
      <w:r w:rsidR="00AF3AA4" w:rsidRPr="003035AC">
        <w:rPr>
          <w:rFonts w:cs="Times New Roman"/>
          <w:sz w:val="20"/>
          <w:szCs w:val="20"/>
        </w:rPr>
        <w:t xml:space="preserve">ure of the practice environment, </w:t>
      </w:r>
      <w:r w:rsidRPr="003035AC">
        <w:rPr>
          <w:rFonts w:cs="Times New Roman"/>
          <w:sz w:val="20"/>
          <w:szCs w:val="20"/>
        </w:rPr>
        <w:t>agree</w:t>
      </w:r>
      <w:r w:rsidR="00AF3AA4" w:rsidRPr="003035AC">
        <w:rPr>
          <w:rFonts w:cs="Times New Roman"/>
          <w:sz w:val="20"/>
          <w:szCs w:val="20"/>
        </w:rPr>
        <w:t>ment</w:t>
      </w:r>
      <w:r w:rsidRPr="003035AC">
        <w:rPr>
          <w:rFonts w:cs="Times New Roman"/>
          <w:sz w:val="20"/>
          <w:szCs w:val="20"/>
        </w:rPr>
        <w:t xml:space="preserve"> </w:t>
      </w:r>
      <w:r w:rsidR="00AF3AA4" w:rsidRPr="003035AC">
        <w:rPr>
          <w:rFonts w:cs="Times New Roman"/>
          <w:sz w:val="20"/>
          <w:szCs w:val="20"/>
        </w:rPr>
        <w:t>on competencies and priorities, c</w:t>
      </w:r>
      <w:r w:rsidRPr="003035AC">
        <w:rPr>
          <w:rFonts w:cs="Times New Roman"/>
          <w:sz w:val="20"/>
          <w:szCs w:val="20"/>
        </w:rPr>
        <w:t>hange approach to maximize learning, n</w:t>
      </w:r>
      <w:r w:rsidR="00AF3AA4" w:rsidRPr="003035AC">
        <w:rPr>
          <w:rFonts w:cs="Times New Roman"/>
          <w:sz w:val="20"/>
          <w:szCs w:val="20"/>
        </w:rPr>
        <w:t>ew models of clinical education, and s</w:t>
      </w:r>
      <w:r w:rsidRPr="003035AC">
        <w:rPr>
          <w:rFonts w:cs="Times New Roman"/>
          <w:sz w:val="20"/>
          <w:szCs w:val="20"/>
        </w:rPr>
        <w:t>trengthen the onboarding processes.</w:t>
      </w:r>
    </w:p>
    <w:p w:rsidR="00276981" w:rsidRPr="003035AC" w:rsidRDefault="004D4D27" w:rsidP="003035AC">
      <w:pPr>
        <w:pStyle w:val="ListParagraph"/>
        <w:numPr>
          <w:ilvl w:val="0"/>
          <w:numId w:val="5"/>
        </w:numPr>
        <w:spacing w:line="240" w:lineRule="auto"/>
        <w:mirrorIndents/>
        <w:jc w:val="both"/>
        <w:rPr>
          <w:rFonts w:cs="Times New Roman"/>
          <w:sz w:val="20"/>
          <w:szCs w:val="20"/>
        </w:rPr>
      </w:pPr>
      <w:r w:rsidRPr="003035AC">
        <w:rPr>
          <w:rFonts w:cs="Times New Roman"/>
          <w:sz w:val="20"/>
          <w:szCs w:val="20"/>
        </w:rPr>
        <w:t xml:space="preserve">Preparation </w:t>
      </w:r>
      <w:r w:rsidR="00B31406" w:rsidRPr="003035AC">
        <w:rPr>
          <w:rFonts w:cs="Times New Roman"/>
          <w:sz w:val="20"/>
          <w:szCs w:val="20"/>
        </w:rPr>
        <w:t>of Future Preceptors</w:t>
      </w:r>
    </w:p>
    <w:p w:rsidR="003035AC" w:rsidRDefault="003035AC" w:rsidP="00276981">
      <w:pPr>
        <w:spacing w:line="240" w:lineRule="auto"/>
        <w:contextualSpacing/>
        <w:mirrorIndents/>
        <w:jc w:val="both"/>
        <w:rPr>
          <w:rFonts w:cs="Times New Roman"/>
          <w:sz w:val="20"/>
          <w:szCs w:val="20"/>
        </w:rPr>
      </w:pPr>
    </w:p>
    <w:p w:rsidR="00276981" w:rsidRDefault="004D4D27" w:rsidP="00276981">
      <w:pPr>
        <w:spacing w:line="240" w:lineRule="auto"/>
        <w:contextualSpacing/>
        <w:mirrorIndents/>
        <w:jc w:val="both"/>
        <w:rPr>
          <w:rFonts w:cs="Times New Roman"/>
          <w:sz w:val="20"/>
          <w:szCs w:val="20"/>
        </w:rPr>
      </w:pPr>
      <w:r w:rsidRPr="00276981">
        <w:rPr>
          <w:rFonts w:cs="Times New Roman"/>
          <w:sz w:val="20"/>
          <w:szCs w:val="20"/>
        </w:rPr>
        <w:t>Embracing a value for continuous improvement, the insights and skills that underlie the Improvement KATA, the methodology use</w:t>
      </w:r>
      <w:r w:rsidR="00EB57C6" w:rsidRPr="00276981">
        <w:rPr>
          <w:rFonts w:cs="Times New Roman"/>
          <w:sz w:val="20"/>
          <w:szCs w:val="20"/>
        </w:rPr>
        <w:t>d to lead the Toyota Industry,</w:t>
      </w:r>
      <w:r w:rsidR="00AF3AA4" w:rsidRPr="00276981">
        <w:rPr>
          <w:rFonts w:cs="Times New Roman"/>
          <w:sz w:val="20"/>
          <w:szCs w:val="20"/>
        </w:rPr>
        <w:t xml:space="preserve"> served</w:t>
      </w:r>
      <w:r w:rsidRPr="00276981">
        <w:rPr>
          <w:rFonts w:cs="Times New Roman"/>
          <w:sz w:val="20"/>
          <w:szCs w:val="20"/>
        </w:rPr>
        <w:t xml:space="preserve"> as a creative, innovative approach to help the team of educators and nurse managers better understand the current condition new novice nurses experience, obstacles impacting graduates’ satisfaction, nurse retention and</w:t>
      </w:r>
      <w:r w:rsidR="00AF3AA4" w:rsidRPr="00276981">
        <w:rPr>
          <w:rFonts w:cs="Times New Roman"/>
          <w:sz w:val="20"/>
          <w:szCs w:val="20"/>
        </w:rPr>
        <w:t xml:space="preserve"> preparation-to-practice gaps</w:t>
      </w:r>
      <w:r w:rsidR="00EB57C6" w:rsidRPr="00276981">
        <w:rPr>
          <w:rFonts w:cs="Times New Roman"/>
          <w:sz w:val="20"/>
          <w:szCs w:val="20"/>
        </w:rPr>
        <w:t xml:space="preserve"> </w:t>
      </w:r>
      <w:r w:rsidR="00B31406" w:rsidRPr="00C349EC">
        <w:rPr>
          <w:rFonts w:cs="Times New Roman"/>
          <w:color w:val="FF0000"/>
          <w:sz w:val="20"/>
          <w:szCs w:val="20"/>
        </w:rPr>
        <w:t>[</w:t>
      </w:r>
      <w:r w:rsidR="00B31406">
        <w:rPr>
          <w:rFonts w:cs="Times New Roman"/>
          <w:color w:val="FF0000"/>
          <w:sz w:val="20"/>
          <w:szCs w:val="20"/>
        </w:rPr>
        <w:t>3</w:t>
      </w:r>
      <w:r w:rsidR="00B31406" w:rsidRPr="00C349EC">
        <w:rPr>
          <w:rFonts w:cs="Times New Roman"/>
          <w:color w:val="FF0000"/>
          <w:sz w:val="20"/>
          <w:szCs w:val="20"/>
        </w:rPr>
        <w:t>]</w:t>
      </w:r>
      <w:r w:rsidR="00AF3AA4" w:rsidRPr="00276981">
        <w:rPr>
          <w:rFonts w:cs="Times New Roman"/>
          <w:sz w:val="20"/>
          <w:szCs w:val="20"/>
        </w:rPr>
        <w:t>. The Improvement KATA served as the process to strategize steps to overcome each obstacle. Training within Industry (TWI) standards were integrated in the nursing student’s learning as well</w:t>
      </w:r>
      <w:r w:rsidR="00455A5B" w:rsidRPr="00276981">
        <w:rPr>
          <w:rFonts w:cs="Times New Roman"/>
          <w:sz w:val="20"/>
          <w:szCs w:val="20"/>
        </w:rPr>
        <w:t xml:space="preserve"> </w:t>
      </w:r>
      <w:r w:rsidR="00B31406" w:rsidRPr="00C349EC">
        <w:rPr>
          <w:rFonts w:cs="Times New Roman"/>
          <w:color w:val="FF0000"/>
          <w:sz w:val="20"/>
          <w:szCs w:val="20"/>
        </w:rPr>
        <w:t>[</w:t>
      </w:r>
      <w:r w:rsidR="00B31406">
        <w:rPr>
          <w:rFonts w:cs="Times New Roman"/>
          <w:color w:val="FF0000"/>
          <w:sz w:val="20"/>
          <w:szCs w:val="20"/>
        </w:rPr>
        <w:t>4</w:t>
      </w:r>
      <w:r w:rsidR="00B31406" w:rsidRPr="00C349EC">
        <w:rPr>
          <w:rFonts w:cs="Times New Roman"/>
          <w:color w:val="FF0000"/>
          <w:sz w:val="20"/>
          <w:szCs w:val="20"/>
        </w:rPr>
        <w:t>]</w:t>
      </w:r>
      <w:r w:rsidR="003035AC">
        <w:rPr>
          <w:rFonts w:cs="Times New Roman"/>
          <w:sz w:val="20"/>
          <w:szCs w:val="20"/>
        </w:rPr>
        <w:t>.</w:t>
      </w:r>
    </w:p>
    <w:p w:rsidR="003035AC" w:rsidRPr="00276981" w:rsidRDefault="003035AC" w:rsidP="00276981">
      <w:pPr>
        <w:spacing w:line="240" w:lineRule="auto"/>
        <w:contextualSpacing/>
        <w:mirrorIndents/>
        <w:jc w:val="both"/>
        <w:rPr>
          <w:rFonts w:cs="Times New Roman"/>
          <w:sz w:val="20"/>
          <w:szCs w:val="20"/>
        </w:rPr>
      </w:pPr>
    </w:p>
    <w:p w:rsidR="00416E04" w:rsidRPr="002161BA" w:rsidRDefault="00B152FE" w:rsidP="00276981">
      <w:pPr>
        <w:spacing w:line="240" w:lineRule="auto"/>
        <w:contextualSpacing/>
        <w:mirrorIndents/>
        <w:jc w:val="both"/>
        <w:rPr>
          <w:rFonts w:cs="Times New Roman"/>
          <w:b/>
          <w:sz w:val="22"/>
        </w:rPr>
      </w:pPr>
      <w:r w:rsidRPr="002161BA">
        <w:rPr>
          <w:rFonts w:cs="Times New Roman"/>
          <w:b/>
          <w:sz w:val="22"/>
        </w:rPr>
        <w:t>Methodology and Design</w:t>
      </w:r>
    </w:p>
    <w:p w:rsidR="00276981" w:rsidRPr="00276981" w:rsidRDefault="00276981" w:rsidP="00276981">
      <w:pPr>
        <w:spacing w:line="240" w:lineRule="auto"/>
        <w:contextualSpacing/>
        <w:mirrorIndents/>
        <w:jc w:val="both"/>
        <w:rPr>
          <w:rFonts w:cs="Times New Roman"/>
          <w:sz w:val="20"/>
          <w:szCs w:val="20"/>
        </w:rPr>
      </w:pPr>
    </w:p>
    <w:p w:rsidR="00B152FE" w:rsidRPr="00880460" w:rsidRDefault="00B152FE" w:rsidP="00276981">
      <w:pPr>
        <w:spacing w:line="240" w:lineRule="auto"/>
        <w:contextualSpacing/>
        <w:mirrorIndents/>
        <w:jc w:val="both"/>
        <w:rPr>
          <w:rFonts w:cs="Times New Roman"/>
          <w:b/>
          <w:sz w:val="20"/>
          <w:szCs w:val="20"/>
        </w:rPr>
      </w:pPr>
      <w:r w:rsidRPr="00880460">
        <w:rPr>
          <w:rFonts w:cs="Times New Roman"/>
          <w:b/>
          <w:sz w:val="20"/>
          <w:szCs w:val="20"/>
        </w:rPr>
        <w:t xml:space="preserve">Hypothesis </w:t>
      </w:r>
    </w:p>
    <w:p w:rsidR="00276981" w:rsidRPr="00276981" w:rsidRDefault="00276981" w:rsidP="00276981">
      <w:pPr>
        <w:spacing w:line="240" w:lineRule="auto"/>
        <w:contextualSpacing/>
        <w:mirrorIndents/>
        <w:jc w:val="both"/>
        <w:rPr>
          <w:rFonts w:cs="Times New Roman"/>
          <w:sz w:val="20"/>
          <w:szCs w:val="20"/>
        </w:rPr>
      </w:pPr>
    </w:p>
    <w:p w:rsidR="00276981" w:rsidRDefault="00AF3AA4" w:rsidP="00276981">
      <w:pPr>
        <w:spacing w:line="240" w:lineRule="auto"/>
        <w:contextualSpacing/>
        <w:mirrorIndents/>
        <w:jc w:val="both"/>
        <w:rPr>
          <w:rFonts w:cs="Times New Roman"/>
          <w:sz w:val="20"/>
          <w:szCs w:val="20"/>
        </w:rPr>
      </w:pPr>
      <w:r w:rsidRPr="00276981">
        <w:rPr>
          <w:rFonts w:cs="Times New Roman"/>
          <w:sz w:val="20"/>
          <w:szCs w:val="20"/>
        </w:rPr>
        <w:t>Exposing the prospective graduate to the customs, practices and rituals of daily practice at Baptist</w:t>
      </w:r>
      <w:r w:rsidR="008C2594">
        <w:rPr>
          <w:rFonts w:cs="Times New Roman"/>
          <w:sz w:val="20"/>
          <w:szCs w:val="20"/>
        </w:rPr>
        <w:t xml:space="preserve"> </w:t>
      </w:r>
      <w:r w:rsidRPr="00276981">
        <w:rPr>
          <w:rFonts w:cs="Times New Roman"/>
          <w:sz w:val="20"/>
          <w:szCs w:val="20"/>
        </w:rPr>
        <w:t>Memphis as part of their senior capstone course experience will result in a smoother transition (</w:t>
      </w:r>
      <w:r w:rsidR="006C0DA5" w:rsidRPr="00276981">
        <w:rPr>
          <w:rFonts w:cs="Times New Roman"/>
          <w:sz w:val="20"/>
          <w:szCs w:val="20"/>
        </w:rPr>
        <w:t>i.e., reducing</w:t>
      </w:r>
      <w:r w:rsidRPr="00276981">
        <w:rPr>
          <w:rFonts w:cs="Times New Roman"/>
          <w:sz w:val="20"/>
          <w:szCs w:val="20"/>
        </w:rPr>
        <w:t xml:space="preserve"> stress, improving the new graduate’s satisfaction, improving nurse retention on the respective units, and impacting more positive patient experiences) and will also enhance the graduates’ socialization into their professional practice role.</w:t>
      </w:r>
    </w:p>
    <w:p w:rsidR="009419ED" w:rsidRPr="00276981" w:rsidRDefault="009419ED" w:rsidP="00276981">
      <w:pPr>
        <w:spacing w:line="240" w:lineRule="auto"/>
        <w:contextualSpacing/>
        <w:mirrorIndents/>
        <w:jc w:val="both"/>
        <w:rPr>
          <w:rFonts w:cs="Times New Roman"/>
          <w:sz w:val="20"/>
          <w:szCs w:val="20"/>
        </w:rPr>
      </w:pPr>
    </w:p>
    <w:p w:rsidR="00B152FE" w:rsidRPr="009419ED" w:rsidRDefault="00B152FE" w:rsidP="00276981">
      <w:pPr>
        <w:spacing w:line="240" w:lineRule="auto"/>
        <w:contextualSpacing/>
        <w:mirrorIndents/>
        <w:jc w:val="both"/>
        <w:rPr>
          <w:rFonts w:cs="Times New Roman"/>
          <w:b/>
          <w:sz w:val="20"/>
          <w:szCs w:val="20"/>
        </w:rPr>
      </w:pPr>
      <w:r w:rsidRPr="009419ED">
        <w:rPr>
          <w:rFonts w:cs="Times New Roman"/>
          <w:b/>
          <w:sz w:val="20"/>
          <w:szCs w:val="20"/>
        </w:rPr>
        <w:t>Clinical Model Design</w:t>
      </w:r>
    </w:p>
    <w:p w:rsidR="00276981" w:rsidRPr="00276981" w:rsidRDefault="00276981" w:rsidP="00276981">
      <w:pPr>
        <w:spacing w:line="240" w:lineRule="auto"/>
        <w:contextualSpacing/>
        <w:mirrorIndents/>
        <w:jc w:val="both"/>
        <w:rPr>
          <w:rFonts w:cs="Times New Roman"/>
          <w:sz w:val="20"/>
          <w:szCs w:val="20"/>
        </w:rPr>
      </w:pPr>
    </w:p>
    <w:p w:rsidR="00276981" w:rsidRDefault="00AF3AA4" w:rsidP="00276981">
      <w:pPr>
        <w:spacing w:line="240" w:lineRule="auto"/>
        <w:contextualSpacing/>
        <w:mirrorIndents/>
        <w:jc w:val="both"/>
        <w:rPr>
          <w:rFonts w:cs="Times New Roman"/>
          <w:sz w:val="20"/>
          <w:szCs w:val="20"/>
        </w:rPr>
      </w:pPr>
      <w:r w:rsidRPr="00276981">
        <w:rPr>
          <w:rFonts w:cs="Times New Roman"/>
          <w:sz w:val="20"/>
          <w:szCs w:val="20"/>
        </w:rPr>
        <w:t>The 180 clinical learning hours in the Senior Nursing Capstone course were</w:t>
      </w:r>
      <w:r w:rsidR="00B152FE" w:rsidRPr="00276981">
        <w:rPr>
          <w:rFonts w:cs="Times New Roman"/>
          <w:sz w:val="20"/>
          <w:szCs w:val="20"/>
        </w:rPr>
        <w:t xml:space="preserve"> </w:t>
      </w:r>
      <w:r w:rsidRPr="00276981">
        <w:rPr>
          <w:rFonts w:cs="Times New Roman"/>
          <w:sz w:val="20"/>
          <w:szCs w:val="20"/>
        </w:rPr>
        <w:t>r</w:t>
      </w:r>
      <w:r w:rsidR="00B152FE" w:rsidRPr="00276981">
        <w:rPr>
          <w:rFonts w:cs="Times New Roman"/>
          <w:sz w:val="20"/>
          <w:szCs w:val="20"/>
        </w:rPr>
        <w:t>e</w:t>
      </w:r>
      <w:r w:rsidRPr="00276981">
        <w:rPr>
          <w:rFonts w:cs="Times New Roman"/>
          <w:sz w:val="20"/>
          <w:szCs w:val="20"/>
        </w:rPr>
        <w:t xml:space="preserve">aligned with the practice rituals and customs of the practice environment, including but not limited to </w:t>
      </w:r>
      <w:r w:rsidR="006C0DA5" w:rsidRPr="00276981">
        <w:rPr>
          <w:rFonts w:cs="Times New Roman"/>
          <w:sz w:val="20"/>
          <w:szCs w:val="20"/>
        </w:rPr>
        <w:t xml:space="preserve">hourly rounding, AIDET®, TWI </w:t>
      </w:r>
      <w:r w:rsidR="00932AF8" w:rsidRPr="00C349EC">
        <w:rPr>
          <w:rFonts w:cs="Times New Roman"/>
          <w:color w:val="FF0000"/>
          <w:sz w:val="20"/>
          <w:szCs w:val="20"/>
        </w:rPr>
        <w:t>[</w:t>
      </w:r>
      <w:r w:rsidR="008C5B87">
        <w:rPr>
          <w:rFonts w:cs="Times New Roman"/>
          <w:color w:val="FF0000"/>
          <w:sz w:val="20"/>
          <w:szCs w:val="20"/>
        </w:rPr>
        <w:t>4</w:t>
      </w:r>
      <w:r w:rsidR="00932AF8" w:rsidRPr="00C349EC">
        <w:rPr>
          <w:rFonts w:cs="Times New Roman"/>
          <w:color w:val="FF0000"/>
          <w:sz w:val="20"/>
          <w:szCs w:val="20"/>
        </w:rPr>
        <w:t>]</w:t>
      </w:r>
      <w:r w:rsidR="006C0DA5" w:rsidRPr="00276981">
        <w:rPr>
          <w:rFonts w:cs="Times New Roman"/>
          <w:sz w:val="20"/>
          <w:szCs w:val="20"/>
        </w:rPr>
        <w:t xml:space="preserve"> </w:t>
      </w:r>
      <w:r w:rsidRPr="00276981">
        <w:rPr>
          <w:rFonts w:cs="Times New Roman"/>
          <w:sz w:val="20"/>
          <w:szCs w:val="20"/>
        </w:rPr>
        <w:t>practices for Foley and IV catheter and central line insertion, and the Improvement KATA process. As the students transitioned into their professional role, the students</w:t>
      </w:r>
      <w:r w:rsidR="00BC59EF" w:rsidRPr="00276981">
        <w:rPr>
          <w:rFonts w:cs="Times New Roman"/>
          <w:sz w:val="20"/>
          <w:szCs w:val="20"/>
        </w:rPr>
        <w:t xml:space="preserve"> </w:t>
      </w:r>
      <w:r w:rsidRPr="00276981">
        <w:rPr>
          <w:rFonts w:cs="Times New Roman"/>
          <w:sz w:val="20"/>
          <w:szCs w:val="20"/>
        </w:rPr>
        <w:t>’preceptors during their Senior Capstone course experience, will continue to be the graduate’s preceptor during their</w:t>
      </w:r>
      <w:r w:rsidR="00932AF8">
        <w:rPr>
          <w:rFonts w:cs="Times New Roman"/>
          <w:sz w:val="20"/>
          <w:szCs w:val="20"/>
        </w:rPr>
        <w:t xml:space="preserve"> orientation/onboarding period.</w:t>
      </w:r>
    </w:p>
    <w:p w:rsidR="00932AF8" w:rsidRPr="00276981" w:rsidRDefault="00932AF8" w:rsidP="00276981">
      <w:pPr>
        <w:spacing w:line="240" w:lineRule="auto"/>
        <w:contextualSpacing/>
        <w:mirrorIndents/>
        <w:jc w:val="both"/>
        <w:rPr>
          <w:rFonts w:cs="Times New Roman"/>
          <w:sz w:val="20"/>
          <w:szCs w:val="20"/>
        </w:rPr>
      </w:pPr>
    </w:p>
    <w:p w:rsidR="00185C4F" w:rsidRDefault="00276981" w:rsidP="00276981">
      <w:pPr>
        <w:spacing w:line="240" w:lineRule="auto"/>
        <w:contextualSpacing/>
        <w:mirrorIndents/>
        <w:jc w:val="both"/>
        <w:rPr>
          <w:rFonts w:cs="Times New Roman"/>
          <w:sz w:val="20"/>
          <w:szCs w:val="20"/>
        </w:rPr>
      </w:pPr>
      <w:r>
        <w:rPr>
          <w:rFonts w:cs="Times New Roman"/>
          <w:sz w:val="20"/>
          <w:szCs w:val="20"/>
        </w:rPr>
        <w:t xml:space="preserve"> </w:t>
      </w:r>
      <w:r w:rsidR="00B036F5" w:rsidRPr="00276981">
        <w:rPr>
          <w:rFonts w:cs="Times New Roman"/>
          <w:sz w:val="20"/>
          <w:szCs w:val="20"/>
        </w:rPr>
        <w:t xml:space="preserve">The Transition into Practice Socialization: Aligning Competencies of Graduates with </w:t>
      </w:r>
      <w:r w:rsidR="00185C4F">
        <w:rPr>
          <w:rFonts w:cs="Times New Roman"/>
          <w:sz w:val="20"/>
          <w:szCs w:val="20"/>
        </w:rPr>
        <w:t xml:space="preserve">the Practice Environment </w:t>
      </w:r>
      <w:r w:rsidR="00B036F5" w:rsidRPr="00276981">
        <w:rPr>
          <w:rFonts w:cs="Times New Roman"/>
          <w:sz w:val="20"/>
          <w:szCs w:val="20"/>
        </w:rPr>
        <w:t xml:space="preserve">(TIPS) Program Schedule had three different phases. Phase I was the Senior Capstone course/clinical experience. Nursing 442 Senior Capstone focuses on the student's transition as a baccalaureate generalist graduate. Emphasis is on clinical/critical reasoning to address simple to complex situations across the lifespan and health-illness continuum from a holistic approach. This </w:t>
      </w:r>
      <w:r w:rsidR="006C0DA5" w:rsidRPr="00276981">
        <w:rPr>
          <w:rFonts w:cs="Times New Roman"/>
          <w:sz w:val="20"/>
          <w:szCs w:val="20"/>
        </w:rPr>
        <w:t>course provides experiential</w:t>
      </w:r>
      <w:r w:rsidR="00B036F5" w:rsidRPr="00276981">
        <w:rPr>
          <w:rFonts w:cs="Times New Roman"/>
          <w:sz w:val="20"/>
          <w:szCs w:val="20"/>
        </w:rPr>
        <w:t xml:space="preserve"> learning under the direction of nurse preceptors and nursing faculty in a variety of practice settings. The student engages in inquiry that is evidence-based and applies research principles in the clinical setting. Informatics and technology are integrated throughout the course. Synthesis of knowledge from prior nursing courses and general education studies is required for successful completion. Phase two is the Nurse Intern II role. Upon hiring and until successful completion of the NCLEX-RN (typically two-six weeks), the graduate will function in the Intern I</w:t>
      </w:r>
      <w:r w:rsidR="00E044F7">
        <w:rPr>
          <w:rFonts w:cs="Times New Roman"/>
          <w:sz w:val="20"/>
          <w:szCs w:val="20"/>
        </w:rPr>
        <w:t>I role.</w:t>
      </w:r>
    </w:p>
    <w:p w:rsidR="00185C4F" w:rsidRDefault="00185C4F" w:rsidP="00276981">
      <w:pPr>
        <w:spacing w:line="240" w:lineRule="auto"/>
        <w:contextualSpacing/>
        <w:mirrorIndents/>
        <w:jc w:val="both"/>
        <w:rPr>
          <w:rFonts w:cs="Times New Roman"/>
          <w:sz w:val="20"/>
          <w:szCs w:val="20"/>
        </w:rPr>
      </w:pPr>
    </w:p>
    <w:p w:rsidR="00DF2BB3" w:rsidRDefault="00E044F7" w:rsidP="00276981">
      <w:pPr>
        <w:spacing w:line="240" w:lineRule="auto"/>
        <w:contextualSpacing/>
        <w:mirrorIndents/>
        <w:jc w:val="both"/>
        <w:rPr>
          <w:rFonts w:cs="Times New Roman"/>
          <w:sz w:val="20"/>
          <w:szCs w:val="20"/>
        </w:rPr>
      </w:pPr>
      <w:r>
        <w:rPr>
          <w:rFonts w:cs="Times New Roman"/>
          <w:sz w:val="20"/>
          <w:szCs w:val="20"/>
        </w:rPr>
        <w:t xml:space="preserve">During this period, the </w:t>
      </w:r>
      <w:r w:rsidR="00B036F5" w:rsidRPr="00276981">
        <w:rPr>
          <w:rFonts w:cs="Times New Roman"/>
          <w:sz w:val="20"/>
          <w:szCs w:val="20"/>
        </w:rPr>
        <w:t xml:space="preserve">Intern II will concentrate on becoming acclimated to the practice setting and preparing for the NCLEX-RN exam. Acclimation to the practice setting will be facilitated through simulation experiences, skills challenges, and didactic sessions. The academic faculty will meet with the Intern II every two weeks. Phase three </w:t>
      </w:r>
      <w:r w:rsidR="00B036F5" w:rsidRPr="00276981">
        <w:rPr>
          <w:rFonts w:cs="Times New Roman"/>
          <w:sz w:val="20"/>
          <w:szCs w:val="20"/>
        </w:rPr>
        <w:lastRenderedPageBreak/>
        <w:t>involves orientation in the Registered Nurse role. Upon successful completion of the NCLEX-RN exam, the Intern II will transition into the registered nurse role and begin orientation. The foci of the orie</w:t>
      </w:r>
      <w:r w:rsidR="00185C4F">
        <w:rPr>
          <w:rFonts w:cs="Times New Roman"/>
          <w:sz w:val="20"/>
          <w:szCs w:val="20"/>
        </w:rPr>
        <w:t>n</w:t>
      </w:r>
      <w:r w:rsidR="00AA1A96">
        <w:rPr>
          <w:rFonts w:cs="Times New Roman"/>
          <w:sz w:val="20"/>
          <w:szCs w:val="20"/>
        </w:rPr>
        <w:t xml:space="preserve">tation period are socialization </w:t>
      </w:r>
      <w:r w:rsidR="00EC5D1E" w:rsidRPr="00276981">
        <w:rPr>
          <w:rFonts w:cs="Times New Roman"/>
          <w:sz w:val="20"/>
          <w:szCs w:val="20"/>
        </w:rPr>
        <w:t>into</w:t>
      </w:r>
      <w:r w:rsidR="00B036F5" w:rsidRPr="00276981">
        <w:rPr>
          <w:rFonts w:cs="Times New Roman"/>
          <w:sz w:val="20"/>
          <w:szCs w:val="20"/>
        </w:rPr>
        <w:t xml:space="preserve"> the culture of the practice setting and acclimation into the professional role.</w:t>
      </w:r>
    </w:p>
    <w:p w:rsidR="00DF2BB3" w:rsidRDefault="00DF2BB3" w:rsidP="00276981">
      <w:pPr>
        <w:spacing w:line="240" w:lineRule="auto"/>
        <w:contextualSpacing/>
        <w:mirrorIndents/>
        <w:jc w:val="both"/>
        <w:rPr>
          <w:rFonts w:cs="Times New Roman"/>
          <w:sz w:val="20"/>
          <w:szCs w:val="20"/>
        </w:rPr>
      </w:pPr>
    </w:p>
    <w:p w:rsidR="00DE023B" w:rsidRDefault="00B036F5" w:rsidP="00276981">
      <w:pPr>
        <w:spacing w:line="240" w:lineRule="auto"/>
        <w:contextualSpacing/>
        <w:mirrorIndents/>
        <w:jc w:val="both"/>
        <w:rPr>
          <w:rFonts w:cs="Times New Roman"/>
          <w:sz w:val="20"/>
          <w:szCs w:val="20"/>
        </w:rPr>
      </w:pPr>
      <w:r w:rsidRPr="00276981">
        <w:rPr>
          <w:rFonts w:cs="Times New Roman"/>
          <w:sz w:val="20"/>
          <w:szCs w:val="20"/>
        </w:rPr>
        <w:t xml:space="preserve">These foci will be facilitated through </w:t>
      </w:r>
      <w:r w:rsidR="00EA1CC9" w:rsidRPr="00276981">
        <w:rPr>
          <w:rFonts w:cs="Times New Roman"/>
          <w:sz w:val="20"/>
          <w:szCs w:val="20"/>
        </w:rPr>
        <w:t>Struc</w:t>
      </w:r>
      <w:r w:rsidR="000C4800">
        <w:rPr>
          <w:rFonts w:cs="Times New Roman"/>
          <w:sz w:val="20"/>
          <w:szCs w:val="20"/>
        </w:rPr>
        <w:t>tured Transitional Experiences i</w:t>
      </w:r>
      <w:r w:rsidR="00EA1CC9" w:rsidRPr="00276981">
        <w:rPr>
          <w:rFonts w:cs="Times New Roman"/>
          <w:sz w:val="20"/>
          <w:szCs w:val="20"/>
        </w:rPr>
        <w:t xml:space="preserve">n Practice </w:t>
      </w:r>
      <w:r w:rsidRPr="00276981">
        <w:rPr>
          <w:rFonts w:cs="Times New Roman"/>
          <w:sz w:val="20"/>
          <w:szCs w:val="20"/>
        </w:rPr>
        <w:t xml:space="preserve">(STEP) using case study analysis, web-based instruction, simulation, group discussion, and role playing to explore topics such as communication styles, conflict resolution, interprofessional collaboration, response to a change in patient condition, and crisis intervention. The orientee will work the preceptor’s schedule as much as possible. The TIP team (academic faculty, unit educator, preceptor and orientee) will meet every 2 weeks during the orientation period. </w:t>
      </w:r>
      <w:r w:rsidR="00AF3AA4" w:rsidRPr="00276981">
        <w:rPr>
          <w:rFonts w:cs="Times New Roman"/>
          <w:sz w:val="20"/>
          <w:szCs w:val="20"/>
        </w:rPr>
        <w:t xml:space="preserve">Once employed at Baptist-Memphis, </w:t>
      </w:r>
      <w:r w:rsidR="00166F3A" w:rsidRPr="00276981">
        <w:rPr>
          <w:rFonts w:cs="Times New Roman"/>
          <w:sz w:val="20"/>
          <w:szCs w:val="20"/>
        </w:rPr>
        <w:t>Struc</w:t>
      </w:r>
      <w:r w:rsidR="00166F3A">
        <w:rPr>
          <w:rFonts w:cs="Times New Roman"/>
          <w:sz w:val="20"/>
          <w:szCs w:val="20"/>
        </w:rPr>
        <w:t>tured Transitional Experiences i</w:t>
      </w:r>
      <w:r w:rsidR="00166F3A" w:rsidRPr="00276981">
        <w:rPr>
          <w:rFonts w:cs="Times New Roman"/>
          <w:sz w:val="20"/>
          <w:szCs w:val="20"/>
        </w:rPr>
        <w:t xml:space="preserve">n Practice </w:t>
      </w:r>
      <w:r w:rsidR="00AF3AA4" w:rsidRPr="00276981">
        <w:rPr>
          <w:rFonts w:cs="Times New Roman"/>
          <w:sz w:val="20"/>
          <w:szCs w:val="20"/>
        </w:rPr>
        <w:t>(STEP) for the graduates and their preceptors were scheduled. Baptist College faculty served as a mentor and resource to the preceptor, unit educator and graduate for the first-year following graduation. The faculty also supported the hospital educators with preceptor training as needed</w:t>
      </w:r>
      <w:r w:rsidR="009D13B0">
        <w:rPr>
          <w:rFonts w:cs="Times New Roman"/>
          <w:sz w:val="20"/>
          <w:szCs w:val="20"/>
        </w:rPr>
        <w:t xml:space="preserve"> </w:t>
      </w:r>
      <w:r w:rsidR="009D13B0" w:rsidRPr="009D13B0">
        <w:rPr>
          <w:rFonts w:cs="Times New Roman"/>
          <w:color w:val="FF0000"/>
          <w:sz w:val="20"/>
          <w:szCs w:val="20"/>
        </w:rPr>
        <w:t>(Table 1)</w:t>
      </w:r>
      <w:r w:rsidR="00AF3AA4" w:rsidRPr="00276981">
        <w:rPr>
          <w:rFonts w:cs="Times New Roman"/>
          <w:sz w:val="20"/>
          <w:szCs w:val="20"/>
        </w:rPr>
        <w:t>.</w:t>
      </w:r>
    </w:p>
    <w:p w:rsidR="00D27571" w:rsidRDefault="00D27571" w:rsidP="00276981">
      <w:pPr>
        <w:spacing w:line="240" w:lineRule="auto"/>
        <w:contextualSpacing/>
        <w:mirrorIndents/>
        <w:jc w:val="both"/>
        <w:rPr>
          <w:rFonts w:cs="Times New Roman"/>
          <w:sz w:val="20"/>
          <w:szCs w:val="20"/>
        </w:rPr>
      </w:pPr>
    </w:p>
    <w:tbl>
      <w:tblPr>
        <w:tblW w:w="7522" w:type="dxa"/>
        <w:jc w:val="center"/>
        <w:tblLook w:val="04A0" w:firstRow="1" w:lastRow="0" w:firstColumn="1" w:lastColumn="0" w:noHBand="0" w:noVBand="1"/>
      </w:tblPr>
      <w:tblGrid>
        <w:gridCol w:w="1268"/>
        <w:gridCol w:w="6254"/>
      </w:tblGrid>
      <w:tr w:rsidR="00166F3A" w:rsidRPr="00166F3A" w:rsidTr="00DE023B">
        <w:trPr>
          <w:trHeight w:val="195"/>
          <w:jc w:val="center"/>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Time</w:t>
            </w:r>
          </w:p>
        </w:tc>
        <w:tc>
          <w:tcPr>
            <w:tcW w:w="6254" w:type="dxa"/>
            <w:tcBorders>
              <w:top w:val="single" w:sz="4" w:space="0" w:color="auto"/>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Structured Transitional Experiences in Practice (STEP)</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1</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Nursing Orientation and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2</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TIPS team meeting,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3</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STEP meeting with academic faculty and/or unit educator;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4</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Unit educator and academic faculty review previous STEP outcome and plan for next STEP meeting using KATA continuous improvement model;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5</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TIPS team meeting,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6</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STEP meeting with academic faculty and/or unit educator;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7</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Unit educator and academic faculty review previous STEP outcome and plan for next STEP meeting using KATA continuous improvement model;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8</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TIPS team meeting,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9</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STEP meeting with academic faculty and/or unit educator;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10</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Unit educator and academic faculty review previous STEP outcome and plan for next STEP meeting using KATA continuous improvement model;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11</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TIPS team meeting,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12</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STEP meeting with academic faculty and/or unit educator; orientee in clinical practice with preceptor.</w:t>
            </w:r>
          </w:p>
        </w:tc>
      </w:tr>
      <w:tr w:rsidR="00166F3A" w:rsidRPr="00166F3A" w:rsidTr="00DE023B">
        <w:trPr>
          <w:trHeight w:val="195"/>
          <w:jc w:val="center"/>
        </w:trPr>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Week 13</w:t>
            </w:r>
          </w:p>
        </w:tc>
        <w:tc>
          <w:tcPr>
            <w:tcW w:w="6254" w:type="dxa"/>
            <w:tcBorders>
              <w:top w:val="nil"/>
              <w:left w:val="nil"/>
              <w:bottom w:val="single" w:sz="4" w:space="0" w:color="auto"/>
              <w:right w:val="single" w:sz="4" w:space="0" w:color="auto"/>
            </w:tcBorders>
            <w:shd w:val="clear" w:color="auto" w:fill="auto"/>
            <w:noWrap/>
            <w:vAlign w:val="center"/>
            <w:hideMark/>
          </w:tcPr>
          <w:p w:rsidR="00166F3A" w:rsidRPr="00166F3A" w:rsidRDefault="00166F3A" w:rsidP="00D75F21">
            <w:pPr>
              <w:spacing w:line="240" w:lineRule="auto"/>
              <w:jc w:val="center"/>
              <w:rPr>
                <w:rFonts w:eastAsia="Times New Roman" w:cs="Times New Roman"/>
                <w:color w:val="000000"/>
                <w:sz w:val="20"/>
                <w:szCs w:val="20"/>
              </w:rPr>
            </w:pPr>
            <w:r w:rsidRPr="00166F3A">
              <w:rPr>
                <w:rFonts w:eastAsia="Times New Roman" w:cs="Times New Roman"/>
                <w:color w:val="000000"/>
                <w:sz w:val="20"/>
                <w:szCs w:val="20"/>
              </w:rPr>
              <w:t>Wrap up and evaluation</w:t>
            </w:r>
          </w:p>
        </w:tc>
      </w:tr>
    </w:tbl>
    <w:p w:rsidR="00166F3A" w:rsidRPr="00276981" w:rsidRDefault="00166F3A" w:rsidP="00276981">
      <w:pPr>
        <w:spacing w:line="240" w:lineRule="auto"/>
        <w:contextualSpacing/>
        <w:mirrorIndents/>
        <w:jc w:val="both"/>
        <w:rPr>
          <w:rFonts w:cs="Times New Roman"/>
          <w:sz w:val="20"/>
          <w:szCs w:val="20"/>
        </w:rPr>
      </w:pPr>
    </w:p>
    <w:p w:rsidR="00742DC5" w:rsidRDefault="00185C4F" w:rsidP="00D75F21">
      <w:pPr>
        <w:spacing w:line="240" w:lineRule="auto"/>
        <w:contextualSpacing/>
        <w:mirrorIndents/>
        <w:jc w:val="center"/>
        <w:rPr>
          <w:rFonts w:cs="Times New Roman"/>
          <w:sz w:val="20"/>
          <w:szCs w:val="20"/>
        </w:rPr>
      </w:pPr>
      <w:r w:rsidRPr="00A014E0">
        <w:rPr>
          <w:rFonts w:cs="Times New Roman"/>
          <w:b/>
          <w:sz w:val="20"/>
          <w:szCs w:val="20"/>
        </w:rPr>
        <w:t>Table 1:</w:t>
      </w:r>
      <w:r>
        <w:rPr>
          <w:rFonts w:cs="Times New Roman"/>
          <w:sz w:val="20"/>
          <w:szCs w:val="20"/>
        </w:rPr>
        <w:t xml:space="preserve"> D</w:t>
      </w:r>
      <w:r w:rsidR="00742DC5" w:rsidRPr="00276981">
        <w:rPr>
          <w:rFonts w:cs="Times New Roman"/>
          <w:sz w:val="20"/>
          <w:szCs w:val="20"/>
        </w:rPr>
        <w:t>epicts the STEP process for graduates, preceptors, and academia</w:t>
      </w:r>
      <w:r w:rsidR="00213087">
        <w:rPr>
          <w:rFonts w:cs="Times New Roman"/>
          <w:sz w:val="20"/>
          <w:szCs w:val="20"/>
        </w:rPr>
        <w:t>.</w:t>
      </w:r>
    </w:p>
    <w:p w:rsidR="00D27571" w:rsidRDefault="00D27571" w:rsidP="00276981">
      <w:pPr>
        <w:spacing w:line="240" w:lineRule="auto"/>
        <w:contextualSpacing/>
        <w:mirrorIndents/>
        <w:jc w:val="both"/>
        <w:rPr>
          <w:rFonts w:cs="Times New Roman"/>
          <w:sz w:val="20"/>
          <w:szCs w:val="20"/>
        </w:rPr>
      </w:pPr>
    </w:p>
    <w:p w:rsidR="00D53D78" w:rsidRDefault="00416E04" w:rsidP="00276981">
      <w:pPr>
        <w:spacing w:line="240" w:lineRule="auto"/>
        <w:contextualSpacing/>
        <w:mirrorIndents/>
        <w:jc w:val="both"/>
        <w:rPr>
          <w:rFonts w:cs="Times New Roman"/>
          <w:sz w:val="20"/>
          <w:szCs w:val="20"/>
        </w:rPr>
      </w:pPr>
      <w:r w:rsidRPr="00276981">
        <w:rPr>
          <w:rFonts w:cs="Times New Roman"/>
          <w:sz w:val="20"/>
          <w:szCs w:val="20"/>
        </w:rPr>
        <w:t>The project involved 3 cohorts of students from January of 2018 through April of 2019 for a total of 27 Senior Nursing Capstone students. The students were assigned to complete 180 direct patient care hours on medical-surgical inpatient units. Each student was partnered with a baccalaureate-prepared registered nurse preceptor. The preceptors were responsible for their student’s patient assignment and guided the student’s performance throughout each shift.</w:t>
      </w:r>
      <w:r w:rsidR="00F275D8">
        <w:rPr>
          <w:rFonts w:cs="Times New Roman"/>
          <w:sz w:val="20"/>
          <w:szCs w:val="20"/>
        </w:rPr>
        <w:t xml:space="preserve"> </w:t>
      </w:r>
      <w:r w:rsidRPr="00276981">
        <w:rPr>
          <w:rFonts w:cs="Times New Roman"/>
          <w:sz w:val="20"/>
          <w:szCs w:val="20"/>
        </w:rPr>
        <w:t>Additionally, 3 nursing faculty members supported the preceptors and oversaw the students’ clinical performance for attainment of course outcomes</w:t>
      </w:r>
      <w:r w:rsidR="00822864">
        <w:rPr>
          <w:rFonts w:cs="Times New Roman"/>
          <w:sz w:val="20"/>
          <w:szCs w:val="20"/>
        </w:rPr>
        <w:t xml:space="preserve"> </w:t>
      </w:r>
      <w:r w:rsidR="00822864" w:rsidRPr="00822864">
        <w:rPr>
          <w:rFonts w:cs="Times New Roman"/>
          <w:color w:val="FF0000"/>
          <w:sz w:val="20"/>
          <w:szCs w:val="20"/>
        </w:rPr>
        <w:t>(Table 2)</w:t>
      </w:r>
      <w:r w:rsidRPr="00276981">
        <w:rPr>
          <w:rFonts w:cs="Times New Roman"/>
          <w:sz w:val="20"/>
          <w:szCs w:val="20"/>
        </w:rPr>
        <w:t>.</w:t>
      </w:r>
    </w:p>
    <w:p w:rsidR="00D75F21" w:rsidRDefault="00D75F21" w:rsidP="00276981">
      <w:pPr>
        <w:spacing w:line="240" w:lineRule="auto"/>
        <w:contextualSpacing/>
        <w:mirrorIndents/>
        <w:jc w:val="both"/>
        <w:rPr>
          <w:rFonts w:cs="Times New Roman"/>
          <w:sz w:val="20"/>
          <w:szCs w:val="20"/>
        </w:rPr>
      </w:pPr>
    </w:p>
    <w:tbl>
      <w:tblPr>
        <w:tblW w:w="7645" w:type="dxa"/>
        <w:jc w:val="center"/>
        <w:tblLook w:val="04A0" w:firstRow="1" w:lastRow="0" w:firstColumn="1" w:lastColumn="0" w:noHBand="0" w:noVBand="1"/>
      </w:tblPr>
      <w:tblGrid>
        <w:gridCol w:w="3827"/>
        <w:gridCol w:w="3818"/>
      </w:tblGrid>
      <w:tr w:rsidR="00876A13" w:rsidRPr="00876A13" w:rsidTr="00D27571">
        <w:trPr>
          <w:trHeight w:val="202"/>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b/>
                <w:color w:val="000000"/>
                <w:sz w:val="20"/>
                <w:szCs w:val="20"/>
              </w:rPr>
            </w:pPr>
            <w:r w:rsidRPr="00876A13">
              <w:rPr>
                <w:rFonts w:eastAsia="Times New Roman" w:cs="Times New Roman"/>
                <w:b/>
                <w:color w:val="000000"/>
                <w:sz w:val="20"/>
                <w:szCs w:val="20"/>
              </w:rPr>
              <w:t>Traditional</w:t>
            </w:r>
          </w:p>
        </w:tc>
        <w:tc>
          <w:tcPr>
            <w:tcW w:w="3818" w:type="dxa"/>
            <w:tcBorders>
              <w:top w:val="single" w:sz="4" w:space="0" w:color="auto"/>
              <w:left w:val="nil"/>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b/>
                <w:color w:val="000000"/>
                <w:sz w:val="20"/>
                <w:szCs w:val="20"/>
              </w:rPr>
            </w:pPr>
            <w:r w:rsidRPr="00876A13">
              <w:rPr>
                <w:rFonts w:eastAsia="Times New Roman" w:cs="Times New Roman"/>
                <w:b/>
                <w:color w:val="000000"/>
                <w:sz w:val="20"/>
                <w:szCs w:val="20"/>
              </w:rPr>
              <w:t>TIPS Project</w:t>
            </w:r>
          </w:p>
        </w:tc>
      </w:tr>
      <w:tr w:rsidR="00876A13" w:rsidRPr="00876A13" w:rsidTr="00D27571">
        <w:trPr>
          <w:trHeight w:val="20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Senior Nursing Capstone students were assigned to patient care units based on their hospital preference and the availability of staff nurse preceptors.</w:t>
            </w:r>
          </w:p>
        </w:tc>
        <w:tc>
          <w:tcPr>
            <w:tcW w:w="3818" w:type="dxa"/>
            <w:tcBorders>
              <w:top w:val="nil"/>
              <w:left w:val="nil"/>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Senior Nursing Capstone students were assigned to the patient care unit they wanted to be hired to after graduation.</w:t>
            </w:r>
          </w:p>
        </w:tc>
      </w:tr>
      <w:tr w:rsidR="00876A13" w:rsidRPr="00876A13" w:rsidTr="00D27571">
        <w:trPr>
          <w:trHeight w:val="20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Graduate nurses were hired on an unfamiliar patient care unit.</w:t>
            </w:r>
          </w:p>
        </w:tc>
        <w:tc>
          <w:tcPr>
            <w:tcW w:w="3818" w:type="dxa"/>
            <w:tcBorders>
              <w:top w:val="nil"/>
              <w:left w:val="nil"/>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Graduates remained on their Senior Nursing Capstone patient care unit.</w:t>
            </w:r>
          </w:p>
        </w:tc>
      </w:tr>
      <w:tr w:rsidR="00876A13" w:rsidRPr="00876A13" w:rsidTr="00D27571">
        <w:trPr>
          <w:trHeight w:val="20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lastRenderedPageBreak/>
              <w:t>The graduates were assigned to an available preceptors.</w:t>
            </w:r>
          </w:p>
        </w:tc>
        <w:tc>
          <w:tcPr>
            <w:tcW w:w="3818" w:type="dxa"/>
            <w:tcBorders>
              <w:top w:val="nil"/>
              <w:left w:val="nil"/>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Graduates remained with their Senior Nursing Capstone preceptor.</w:t>
            </w:r>
          </w:p>
        </w:tc>
      </w:tr>
      <w:tr w:rsidR="00876A13" w:rsidRPr="00876A13" w:rsidTr="00D27571">
        <w:trPr>
          <w:trHeight w:val="202"/>
          <w:jc w:val="center"/>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No formal plan for continued interaction among graduates, preceptors and faculty members.</w:t>
            </w:r>
          </w:p>
        </w:tc>
        <w:tc>
          <w:tcPr>
            <w:tcW w:w="3818" w:type="dxa"/>
            <w:tcBorders>
              <w:top w:val="nil"/>
              <w:left w:val="nil"/>
              <w:bottom w:val="single" w:sz="4" w:space="0" w:color="auto"/>
              <w:right w:val="single" w:sz="4" w:space="0" w:color="auto"/>
            </w:tcBorders>
            <w:shd w:val="clear" w:color="auto" w:fill="auto"/>
            <w:noWrap/>
            <w:vAlign w:val="center"/>
            <w:hideMark/>
          </w:tcPr>
          <w:p w:rsidR="00876A13" w:rsidRPr="00876A13" w:rsidRDefault="00876A13" w:rsidP="00876A13">
            <w:pPr>
              <w:spacing w:line="240" w:lineRule="auto"/>
              <w:jc w:val="center"/>
              <w:rPr>
                <w:rFonts w:eastAsia="Times New Roman" w:cs="Times New Roman"/>
                <w:color w:val="000000"/>
                <w:sz w:val="20"/>
                <w:szCs w:val="20"/>
              </w:rPr>
            </w:pPr>
            <w:r w:rsidRPr="00876A13">
              <w:rPr>
                <w:rFonts w:eastAsia="Times New Roman" w:cs="Times New Roman"/>
                <w:color w:val="000000"/>
                <w:sz w:val="20"/>
                <w:szCs w:val="20"/>
              </w:rPr>
              <w:t xml:space="preserve">A formal 13-week plan for collaboration among graduates, preceptors, faculty, and unit educators was developed. The project participants met at least every 2 weeks. </w:t>
            </w:r>
          </w:p>
        </w:tc>
      </w:tr>
    </w:tbl>
    <w:p w:rsidR="00876A13" w:rsidRPr="00276981" w:rsidRDefault="00876A13" w:rsidP="00276981">
      <w:pPr>
        <w:spacing w:line="240" w:lineRule="auto"/>
        <w:contextualSpacing/>
        <w:mirrorIndents/>
        <w:jc w:val="both"/>
        <w:rPr>
          <w:rFonts w:cs="Times New Roman"/>
          <w:sz w:val="20"/>
          <w:szCs w:val="20"/>
        </w:rPr>
      </w:pPr>
    </w:p>
    <w:p w:rsidR="00D75F21" w:rsidRDefault="00742DC5" w:rsidP="00276981">
      <w:pPr>
        <w:spacing w:line="240" w:lineRule="auto"/>
        <w:contextualSpacing/>
        <w:mirrorIndents/>
        <w:jc w:val="both"/>
        <w:rPr>
          <w:rFonts w:cs="Times New Roman"/>
          <w:sz w:val="20"/>
          <w:szCs w:val="20"/>
        </w:rPr>
      </w:pPr>
      <w:r w:rsidRPr="0089119B">
        <w:rPr>
          <w:rFonts w:cs="Times New Roman"/>
          <w:b/>
          <w:sz w:val="20"/>
          <w:szCs w:val="20"/>
        </w:rPr>
        <w:t>Table 2</w:t>
      </w:r>
      <w:r w:rsidR="004C15DA" w:rsidRPr="0089119B">
        <w:rPr>
          <w:rFonts w:cs="Times New Roman"/>
          <w:b/>
          <w:sz w:val="20"/>
          <w:szCs w:val="20"/>
        </w:rPr>
        <w:t>:</w:t>
      </w:r>
      <w:r w:rsidR="004C15DA">
        <w:rPr>
          <w:rFonts w:cs="Times New Roman"/>
          <w:sz w:val="20"/>
          <w:szCs w:val="20"/>
        </w:rPr>
        <w:t xml:space="preserve"> D</w:t>
      </w:r>
      <w:r w:rsidR="004D4D27" w:rsidRPr="00276981">
        <w:rPr>
          <w:rFonts w:cs="Times New Roman"/>
          <w:sz w:val="20"/>
          <w:szCs w:val="20"/>
        </w:rPr>
        <w:t>epicts the traditional student, graduate nurse, preceptor, and faculty experience compared to the experience of the TIPS project students, graduates, preceptors and faculty members.</w:t>
      </w:r>
    </w:p>
    <w:p w:rsidR="00FD7F11" w:rsidRPr="00276981" w:rsidRDefault="00FD7F11" w:rsidP="00276981">
      <w:pPr>
        <w:spacing w:line="240" w:lineRule="auto"/>
        <w:contextualSpacing/>
        <w:mirrorIndents/>
        <w:jc w:val="both"/>
        <w:rPr>
          <w:rFonts w:cs="Times New Roman"/>
          <w:sz w:val="20"/>
          <w:szCs w:val="20"/>
        </w:rPr>
      </w:pPr>
    </w:p>
    <w:p w:rsidR="00416E04" w:rsidRPr="004C15DA" w:rsidRDefault="00B152FE" w:rsidP="00276981">
      <w:pPr>
        <w:spacing w:line="240" w:lineRule="auto"/>
        <w:contextualSpacing/>
        <w:mirrorIndents/>
        <w:jc w:val="both"/>
        <w:rPr>
          <w:rFonts w:cs="Times New Roman"/>
          <w:b/>
          <w:sz w:val="22"/>
        </w:rPr>
      </w:pPr>
      <w:r w:rsidRPr="004C15DA">
        <w:rPr>
          <w:rFonts w:cs="Times New Roman"/>
          <w:b/>
          <w:sz w:val="22"/>
        </w:rPr>
        <w:t>Results and Outcomes</w:t>
      </w:r>
    </w:p>
    <w:p w:rsidR="00276981" w:rsidRPr="00276981" w:rsidRDefault="00276981" w:rsidP="00276981">
      <w:pPr>
        <w:spacing w:line="240" w:lineRule="auto"/>
        <w:contextualSpacing/>
        <w:mirrorIndents/>
        <w:jc w:val="both"/>
        <w:rPr>
          <w:rFonts w:cs="Times New Roman"/>
          <w:sz w:val="20"/>
          <w:szCs w:val="20"/>
        </w:rPr>
      </w:pPr>
    </w:p>
    <w:p w:rsidR="0061648B" w:rsidRDefault="0061648B" w:rsidP="00276981">
      <w:pPr>
        <w:spacing w:line="240" w:lineRule="auto"/>
        <w:contextualSpacing/>
        <w:mirrorIndents/>
        <w:jc w:val="both"/>
        <w:rPr>
          <w:rFonts w:cs="Times New Roman"/>
          <w:sz w:val="20"/>
          <w:szCs w:val="20"/>
        </w:rPr>
      </w:pPr>
      <w:r w:rsidRPr="00276981">
        <w:rPr>
          <w:rFonts w:cs="Times New Roman"/>
          <w:sz w:val="20"/>
          <w:szCs w:val="20"/>
        </w:rPr>
        <w:t>The nursing faculty and hospital leaders utilized varied indicators for outcomes data from the TIPS project. The following table depicts the indicators and the instruments used to gather the outcomes data</w:t>
      </w:r>
      <w:r w:rsidR="007A3AD7">
        <w:rPr>
          <w:rFonts w:cs="Times New Roman"/>
          <w:sz w:val="20"/>
          <w:szCs w:val="20"/>
        </w:rPr>
        <w:t xml:space="preserve"> </w:t>
      </w:r>
      <w:r w:rsidR="007A3AD7" w:rsidRPr="007A3AD7">
        <w:rPr>
          <w:rFonts w:cs="Times New Roman"/>
          <w:color w:val="FF0000"/>
          <w:sz w:val="20"/>
          <w:szCs w:val="20"/>
        </w:rPr>
        <w:t>(Table 3)</w:t>
      </w:r>
      <w:r w:rsidRPr="00276981">
        <w:rPr>
          <w:rFonts w:cs="Times New Roman"/>
          <w:sz w:val="20"/>
          <w:szCs w:val="20"/>
        </w:rPr>
        <w:t xml:space="preserve">. </w:t>
      </w:r>
    </w:p>
    <w:p w:rsidR="00276981" w:rsidRDefault="00276981" w:rsidP="00276981">
      <w:pPr>
        <w:spacing w:line="240" w:lineRule="auto"/>
        <w:contextualSpacing/>
        <w:mirrorIndents/>
        <w:jc w:val="both"/>
        <w:rPr>
          <w:rFonts w:cs="Times New Roman"/>
          <w:sz w:val="20"/>
          <w:szCs w:val="20"/>
        </w:rPr>
      </w:pPr>
    </w:p>
    <w:tbl>
      <w:tblPr>
        <w:tblW w:w="7672" w:type="dxa"/>
        <w:jc w:val="center"/>
        <w:tblLook w:val="04A0" w:firstRow="1" w:lastRow="0" w:firstColumn="1" w:lastColumn="0" w:noHBand="0" w:noVBand="1"/>
      </w:tblPr>
      <w:tblGrid>
        <w:gridCol w:w="2905"/>
        <w:gridCol w:w="4767"/>
      </w:tblGrid>
      <w:tr w:rsidR="004C15DA" w:rsidRPr="004C15DA" w:rsidTr="00DE023B">
        <w:trPr>
          <w:trHeight w:val="208"/>
          <w:jc w:val="center"/>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b/>
                <w:color w:val="000000"/>
                <w:sz w:val="20"/>
                <w:szCs w:val="20"/>
              </w:rPr>
            </w:pPr>
            <w:r w:rsidRPr="004C15DA">
              <w:rPr>
                <w:rFonts w:eastAsia="Times New Roman" w:cs="Times New Roman"/>
                <w:b/>
                <w:color w:val="000000"/>
                <w:sz w:val="20"/>
                <w:szCs w:val="20"/>
              </w:rPr>
              <w:t>Indicators</w:t>
            </w:r>
          </w:p>
        </w:tc>
        <w:tc>
          <w:tcPr>
            <w:tcW w:w="4767" w:type="dxa"/>
            <w:tcBorders>
              <w:top w:val="single" w:sz="4" w:space="0" w:color="auto"/>
              <w:left w:val="nil"/>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b/>
                <w:color w:val="000000"/>
                <w:sz w:val="20"/>
                <w:szCs w:val="20"/>
              </w:rPr>
            </w:pPr>
            <w:r w:rsidRPr="004C15DA">
              <w:rPr>
                <w:rFonts w:eastAsia="Times New Roman" w:cs="Times New Roman"/>
                <w:b/>
                <w:color w:val="000000"/>
                <w:sz w:val="20"/>
                <w:szCs w:val="20"/>
              </w:rPr>
              <w:t>Instruments</w:t>
            </w:r>
          </w:p>
        </w:tc>
      </w:tr>
      <w:tr w:rsidR="004C15DA" w:rsidRPr="004C15DA" w:rsidTr="00DE023B">
        <w:trPr>
          <w:trHeight w:val="208"/>
          <w:jc w:val="center"/>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Student Learning Experience</w:t>
            </w:r>
          </w:p>
        </w:tc>
        <w:tc>
          <w:tcPr>
            <w:tcW w:w="4767" w:type="dxa"/>
            <w:tcBorders>
              <w:top w:val="nil"/>
              <w:left w:val="nil"/>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Preceptor Evaluations</w:t>
            </w:r>
          </w:p>
        </w:tc>
      </w:tr>
      <w:tr w:rsidR="004C15DA" w:rsidRPr="004C15DA" w:rsidTr="00DE023B">
        <w:trPr>
          <w:trHeight w:val="208"/>
          <w:jc w:val="center"/>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Patient Experience</w:t>
            </w:r>
          </w:p>
        </w:tc>
        <w:tc>
          <w:tcPr>
            <w:tcW w:w="4767" w:type="dxa"/>
            <w:tcBorders>
              <w:top w:val="nil"/>
              <w:left w:val="nil"/>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HCAHPS: Nurse Communication: Professionalism Behaviors</w:t>
            </w:r>
          </w:p>
        </w:tc>
      </w:tr>
      <w:tr w:rsidR="004C15DA" w:rsidRPr="004C15DA" w:rsidTr="00DE023B">
        <w:trPr>
          <w:trHeight w:val="208"/>
          <w:jc w:val="center"/>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Graduate Nurse Engagement</w:t>
            </w:r>
          </w:p>
        </w:tc>
        <w:tc>
          <w:tcPr>
            <w:tcW w:w="4767" w:type="dxa"/>
            <w:tcBorders>
              <w:top w:val="nil"/>
              <w:left w:val="nil"/>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Casey-Fink Graduate Nurse Experiences Survey-Socialization Questions</w:t>
            </w:r>
          </w:p>
        </w:tc>
      </w:tr>
      <w:tr w:rsidR="004C15DA" w:rsidRPr="004C15DA" w:rsidTr="00DE023B">
        <w:trPr>
          <w:trHeight w:val="208"/>
          <w:jc w:val="center"/>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Nurse Retention</w:t>
            </w:r>
          </w:p>
        </w:tc>
        <w:tc>
          <w:tcPr>
            <w:tcW w:w="4767" w:type="dxa"/>
            <w:tcBorders>
              <w:top w:val="nil"/>
              <w:left w:val="nil"/>
              <w:bottom w:val="single" w:sz="4" w:space="0" w:color="auto"/>
              <w:right w:val="single" w:sz="4" w:space="0" w:color="auto"/>
            </w:tcBorders>
            <w:shd w:val="clear" w:color="auto" w:fill="auto"/>
            <w:noWrap/>
            <w:vAlign w:val="center"/>
            <w:hideMark/>
          </w:tcPr>
          <w:p w:rsidR="004C15DA" w:rsidRPr="004C15DA" w:rsidRDefault="004C15DA" w:rsidP="004C15DA">
            <w:pPr>
              <w:spacing w:line="240" w:lineRule="auto"/>
              <w:jc w:val="center"/>
              <w:rPr>
                <w:rFonts w:eastAsia="Times New Roman" w:cs="Times New Roman"/>
                <w:color w:val="000000"/>
                <w:sz w:val="20"/>
                <w:szCs w:val="20"/>
              </w:rPr>
            </w:pPr>
            <w:r w:rsidRPr="004C15DA">
              <w:rPr>
                <w:rFonts w:eastAsia="Times New Roman" w:cs="Times New Roman"/>
                <w:color w:val="000000"/>
                <w:sz w:val="20"/>
                <w:szCs w:val="20"/>
              </w:rPr>
              <w:t>Human Resources Report of Nurse Retention</w:t>
            </w:r>
          </w:p>
        </w:tc>
      </w:tr>
    </w:tbl>
    <w:p w:rsidR="004C15DA" w:rsidRPr="00276981" w:rsidRDefault="004C15DA" w:rsidP="00276981">
      <w:pPr>
        <w:spacing w:line="240" w:lineRule="auto"/>
        <w:contextualSpacing/>
        <w:mirrorIndents/>
        <w:jc w:val="both"/>
        <w:rPr>
          <w:rFonts w:cs="Times New Roman"/>
          <w:sz w:val="20"/>
          <w:szCs w:val="20"/>
        </w:rPr>
      </w:pPr>
    </w:p>
    <w:p w:rsidR="00DE023B" w:rsidRDefault="0061648B" w:rsidP="00063C55">
      <w:pPr>
        <w:spacing w:line="240" w:lineRule="auto"/>
        <w:contextualSpacing/>
        <w:mirrorIndents/>
        <w:jc w:val="center"/>
        <w:rPr>
          <w:rFonts w:cs="Times New Roman"/>
          <w:sz w:val="20"/>
          <w:szCs w:val="20"/>
        </w:rPr>
      </w:pPr>
      <w:r w:rsidRPr="00DF3D89">
        <w:rPr>
          <w:rFonts w:cs="Times New Roman"/>
          <w:b/>
          <w:sz w:val="20"/>
          <w:szCs w:val="20"/>
        </w:rPr>
        <w:t xml:space="preserve">Table </w:t>
      </w:r>
      <w:r w:rsidR="00FD7F11">
        <w:rPr>
          <w:rFonts w:cs="Times New Roman"/>
          <w:b/>
          <w:sz w:val="20"/>
          <w:szCs w:val="20"/>
        </w:rPr>
        <w:t>3</w:t>
      </w:r>
      <w:r w:rsidR="00DF3D89" w:rsidRPr="00DF3D89">
        <w:rPr>
          <w:rFonts w:cs="Times New Roman"/>
          <w:b/>
          <w:sz w:val="20"/>
          <w:szCs w:val="20"/>
        </w:rPr>
        <w:t>:</w:t>
      </w:r>
      <w:r w:rsidRPr="00276981">
        <w:rPr>
          <w:rFonts w:cs="Times New Roman"/>
          <w:sz w:val="20"/>
          <w:szCs w:val="20"/>
        </w:rPr>
        <w:t xml:space="preserve"> Data Collection</w:t>
      </w:r>
      <w:r w:rsidR="00DF3D89">
        <w:rPr>
          <w:rFonts w:cs="Times New Roman"/>
          <w:sz w:val="20"/>
          <w:szCs w:val="20"/>
        </w:rPr>
        <w:t>.</w:t>
      </w:r>
    </w:p>
    <w:p w:rsidR="00063C55" w:rsidRDefault="00063C55" w:rsidP="00063C55">
      <w:pPr>
        <w:spacing w:line="240" w:lineRule="auto"/>
        <w:contextualSpacing/>
        <w:mirrorIndents/>
        <w:jc w:val="both"/>
        <w:rPr>
          <w:rFonts w:cs="Times New Roman"/>
          <w:sz w:val="20"/>
          <w:szCs w:val="20"/>
        </w:rPr>
      </w:pPr>
    </w:p>
    <w:p w:rsidR="00D75F21" w:rsidRDefault="0061648B" w:rsidP="00276981">
      <w:pPr>
        <w:spacing w:line="240" w:lineRule="auto"/>
        <w:contextualSpacing/>
        <w:mirrorIndents/>
        <w:jc w:val="both"/>
        <w:rPr>
          <w:rFonts w:cs="Times New Roman"/>
          <w:sz w:val="20"/>
          <w:szCs w:val="20"/>
        </w:rPr>
      </w:pPr>
      <w:r w:rsidRPr="00276981">
        <w:rPr>
          <w:rFonts w:cs="Times New Roman"/>
          <w:sz w:val="20"/>
          <w:szCs w:val="20"/>
        </w:rPr>
        <w:t>In terms of Student Learning Experience, the student stated in their preceptor evaluations that their preceptors: 1) served as positive role models, 2) provided help in developing skills, 3) gave appropriate and timely feedback, 4) facilitated a positive atmosphere for learning, 5) were available as resources and counselors, 6) allowed the students to function independently when appropriate and 7) were knowledgeable conc</w:t>
      </w:r>
      <w:r w:rsidR="00D75F21">
        <w:rPr>
          <w:rFonts w:cs="Times New Roman"/>
          <w:sz w:val="20"/>
          <w:szCs w:val="20"/>
        </w:rPr>
        <w:t>erning policies and procedures.</w:t>
      </w:r>
    </w:p>
    <w:p w:rsidR="00276981" w:rsidRDefault="0061648B" w:rsidP="00276981">
      <w:pPr>
        <w:spacing w:line="240" w:lineRule="auto"/>
        <w:contextualSpacing/>
        <w:mirrorIndents/>
        <w:jc w:val="both"/>
        <w:rPr>
          <w:rFonts w:cs="Times New Roman"/>
          <w:sz w:val="20"/>
          <w:szCs w:val="20"/>
        </w:rPr>
      </w:pPr>
      <w:r w:rsidRPr="00276981">
        <w:rPr>
          <w:rFonts w:cs="Times New Roman"/>
          <w:sz w:val="20"/>
          <w:szCs w:val="20"/>
        </w:rPr>
        <w:t xml:space="preserve"> </w:t>
      </w:r>
    </w:p>
    <w:p w:rsidR="0061648B" w:rsidRPr="00276981" w:rsidRDefault="0061648B" w:rsidP="00276981">
      <w:pPr>
        <w:spacing w:line="240" w:lineRule="auto"/>
        <w:contextualSpacing/>
        <w:mirrorIndents/>
        <w:jc w:val="both"/>
        <w:rPr>
          <w:rFonts w:cs="Times New Roman"/>
          <w:sz w:val="20"/>
          <w:szCs w:val="20"/>
        </w:rPr>
      </w:pPr>
      <w:r w:rsidRPr="00276981">
        <w:rPr>
          <w:rFonts w:cs="Times New Roman"/>
          <w:sz w:val="20"/>
          <w:szCs w:val="20"/>
        </w:rPr>
        <w:t>Patient Experience outcomes were measured using the HCAHPS survey of discharged patients. 66.2-66.5% of the patients discharged from the TIPS project medical-surgical units (N=369) indicated on the HCAHPS survey that the nurses “</w:t>
      </w:r>
      <w:r w:rsidR="00C8635B">
        <w:rPr>
          <w:rFonts w:cs="Times New Roman"/>
          <w:sz w:val="20"/>
          <w:szCs w:val="20"/>
        </w:rPr>
        <w:t>A</w:t>
      </w:r>
      <w:r w:rsidRPr="00276981">
        <w:rPr>
          <w:rFonts w:cs="Times New Roman"/>
          <w:sz w:val="20"/>
          <w:szCs w:val="20"/>
        </w:rPr>
        <w:t>lways” treated them with courtesy and respect, listened carefully to them and explained things in a way they could understand. The previous calendar year 59.2-72.9 of the discharg</w:t>
      </w:r>
      <w:r w:rsidR="00C8635B">
        <w:rPr>
          <w:rFonts w:cs="Times New Roman"/>
          <w:sz w:val="20"/>
          <w:szCs w:val="20"/>
        </w:rPr>
        <w:t>ed patients (N=266) responded “A</w:t>
      </w:r>
      <w:r w:rsidRPr="00276981">
        <w:rPr>
          <w:rFonts w:cs="Times New Roman"/>
          <w:sz w:val="20"/>
          <w:szCs w:val="20"/>
        </w:rPr>
        <w:t>lways” to the behaviors related to nurse communication. The graduate nurses scored all questions related to socialization on the Casey-Fink survey as “</w:t>
      </w:r>
      <w:r w:rsidR="00DF3D89" w:rsidRPr="00276981">
        <w:rPr>
          <w:rFonts w:cs="Times New Roman"/>
          <w:sz w:val="20"/>
          <w:szCs w:val="20"/>
        </w:rPr>
        <w:t>Strongly Positive</w:t>
      </w:r>
      <w:r w:rsidRPr="00276981">
        <w:rPr>
          <w:rFonts w:cs="Times New Roman"/>
          <w:sz w:val="20"/>
          <w:szCs w:val="20"/>
        </w:rPr>
        <w:t>”.</w:t>
      </w:r>
      <w:r w:rsidR="00F275D8">
        <w:rPr>
          <w:rFonts w:cs="Times New Roman"/>
          <w:sz w:val="20"/>
          <w:szCs w:val="20"/>
        </w:rPr>
        <w:t xml:space="preserve"> </w:t>
      </w:r>
      <w:r w:rsidRPr="00276981">
        <w:rPr>
          <w:rFonts w:cs="Times New Roman"/>
          <w:sz w:val="20"/>
          <w:szCs w:val="20"/>
        </w:rPr>
        <w:t>All graduates were retained within the hospital after graduation. 33% (N=9 out of 27) stayed on their TIPS unit. The remaining students took graduate positions on other units within the facility.</w:t>
      </w:r>
    </w:p>
    <w:p w:rsidR="00276981" w:rsidRDefault="00276981" w:rsidP="00276981">
      <w:pPr>
        <w:spacing w:line="240" w:lineRule="auto"/>
        <w:contextualSpacing/>
        <w:mirrorIndents/>
        <w:jc w:val="both"/>
        <w:rPr>
          <w:rFonts w:cs="Times New Roman"/>
          <w:sz w:val="20"/>
          <w:szCs w:val="20"/>
        </w:rPr>
      </w:pPr>
    </w:p>
    <w:p w:rsidR="0061648B" w:rsidRDefault="0061648B" w:rsidP="00276981">
      <w:pPr>
        <w:spacing w:line="240" w:lineRule="auto"/>
        <w:contextualSpacing/>
        <w:mirrorIndents/>
        <w:jc w:val="both"/>
        <w:rPr>
          <w:rFonts w:cs="Times New Roman"/>
          <w:sz w:val="20"/>
          <w:szCs w:val="20"/>
        </w:rPr>
      </w:pPr>
      <w:r w:rsidRPr="00276981">
        <w:rPr>
          <w:rFonts w:cs="Times New Roman"/>
          <w:sz w:val="20"/>
          <w:szCs w:val="20"/>
        </w:rPr>
        <w:t xml:space="preserve">The participation by unit managers was critical to successful implementation of the project. They were able to facilitate a student experience by providing leadership support to the preceptors. One manager experienced both retention of students on her medical-surgical unit as well as the transfer of students to non-medical-surgical units after graduation. Regardless of the retention outcome, the manager identified both strengths and challenges in the project. She noted that she, the preceptors and students were supported through frequent communication with the college faculty. The students were well-prepared for clinical and eager to learn. The training and follow up provided to the preceptors by the college faculty was very thorough and greatly appreciated by the preceptors. However, turnover of preceptors became a problem as they sought different opportunities elsewhere. The overall staff nurse turnover on her particular medical-surgical unit during the project was quite high, and the availability of experienced staff to mentor students and new graduates was slim. She noted that manager turnover during this time was a challenge in the medical-surgical units as well. </w:t>
      </w:r>
    </w:p>
    <w:p w:rsidR="00276981" w:rsidRPr="00276981" w:rsidRDefault="00276981" w:rsidP="00276981">
      <w:pPr>
        <w:spacing w:line="240" w:lineRule="auto"/>
        <w:contextualSpacing/>
        <w:mirrorIndents/>
        <w:jc w:val="both"/>
        <w:rPr>
          <w:rFonts w:cs="Times New Roman"/>
          <w:sz w:val="20"/>
          <w:szCs w:val="20"/>
        </w:rPr>
      </w:pPr>
    </w:p>
    <w:p w:rsidR="00DE023B" w:rsidRDefault="0061648B" w:rsidP="00276981">
      <w:pPr>
        <w:spacing w:line="240" w:lineRule="auto"/>
        <w:contextualSpacing/>
        <w:mirrorIndents/>
        <w:jc w:val="both"/>
        <w:rPr>
          <w:rFonts w:cs="Times New Roman"/>
          <w:sz w:val="20"/>
          <w:szCs w:val="20"/>
        </w:rPr>
      </w:pPr>
      <w:r w:rsidRPr="00276981">
        <w:rPr>
          <w:rFonts w:cs="Times New Roman"/>
          <w:sz w:val="20"/>
          <w:szCs w:val="20"/>
        </w:rPr>
        <w:t xml:space="preserve">Unit managers and partners in the transition process for the new graduates reported that during the first cycle, there were three Capstone students on the unit, one of which was a Nurse Intern in the department as well. Although, none of the three took positions in the department upon graduation, the three expressed a strong desire to work in areas other than Med/Surg and sought opportunities in those areas. The following semester had greater </w:t>
      </w:r>
      <w:r w:rsidRPr="00276981">
        <w:rPr>
          <w:rFonts w:cs="Times New Roman"/>
          <w:sz w:val="20"/>
          <w:szCs w:val="20"/>
        </w:rPr>
        <w:lastRenderedPageBreak/>
        <w:t>success, yielding two graduate nurses that took positions on the unit. Throughout the process, and after, there were some strengths and challenges noted. The communication with the college faculty was positive and frequent between management, preceptors and the students. This process ensured that everyone felt supported. The students were well-prepared for clinical and eager to learn. The training and follow up for the preceptors was very thorough and great feedback from them regarding the content and support was received. Turnover of preceptors became a problem as they sought different opportunities elsewhere. The overall turnover on the unit at the time was quite high, and availability of experienced staff was slim which may have played a role in the</w:t>
      </w:r>
      <w:r w:rsidR="00DF3D89">
        <w:rPr>
          <w:rFonts w:cs="Times New Roman"/>
          <w:sz w:val="20"/>
          <w:szCs w:val="20"/>
        </w:rPr>
        <w:t xml:space="preserve"> students choosing not to stay.</w:t>
      </w:r>
    </w:p>
    <w:p w:rsidR="00063C55" w:rsidRPr="00276981" w:rsidRDefault="00063C55" w:rsidP="00276981">
      <w:pPr>
        <w:spacing w:line="240" w:lineRule="auto"/>
        <w:contextualSpacing/>
        <w:mirrorIndents/>
        <w:jc w:val="both"/>
        <w:rPr>
          <w:rFonts w:cs="Times New Roman"/>
          <w:sz w:val="20"/>
          <w:szCs w:val="20"/>
        </w:rPr>
      </w:pPr>
    </w:p>
    <w:p w:rsidR="0061648B" w:rsidRPr="00814852" w:rsidRDefault="0061648B" w:rsidP="00276981">
      <w:pPr>
        <w:spacing w:line="240" w:lineRule="auto"/>
        <w:contextualSpacing/>
        <w:mirrorIndents/>
        <w:jc w:val="both"/>
        <w:rPr>
          <w:rFonts w:cs="Times New Roman"/>
          <w:b/>
          <w:sz w:val="22"/>
        </w:rPr>
      </w:pPr>
      <w:r w:rsidRPr="00814852">
        <w:rPr>
          <w:rFonts w:cs="Times New Roman"/>
          <w:b/>
          <w:sz w:val="22"/>
        </w:rPr>
        <w:t>Conclusion</w:t>
      </w:r>
    </w:p>
    <w:p w:rsidR="00276981" w:rsidRDefault="00276981" w:rsidP="00276981">
      <w:pPr>
        <w:spacing w:line="240" w:lineRule="auto"/>
        <w:contextualSpacing/>
        <w:mirrorIndents/>
        <w:jc w:val="both"/>
        <w:rPr>
          <w:rFonts w:cs="Times New Roman"/>
          <w:sz w:val="20"/>
          <w:szCs w:val="20"/>
        </w:rPr>
      </w:pPr>
    </w:p>
    <w:p w:rsidR="008944B3" w:rsidRDefault="0061648B" w:rsidP="00276981">
      <w:pPr>
        <w:spacing w:line="240" w:lineRule="auto"/>
        <w:contextualSpacing/>
        <w:mirrorIndents/>
        <w:jc w:val="both"/>
        <w:rPr>
          <w:rFonts w:cs="Times New Roman"/>
          <w:sz w:val="20"/>
          <w:szCs w:val="20"/>
        </w:rPr>
      </w:pPr>
      <w:r w:rsidRPr="00276981">
        <w:rPr>
          <w:rFonts w:cs="Times New Roman"/>
          <w:sz w:val="20"/>
          <w:szCs w:val="20"/>
        </w:rPr>
        <w:t>Throughout the project process from planning to implementation and through outcome measurement it quickly became obvious that the issue of transition into professional practice for the graduate nurse is complicated and multi-factorial. The importance of building solid relationships between the academic faculty and the practice experts was reinforced as facilitating a positive learning experience/environment for students and a smoother transition for the graduates into professional practice. This relationship does not happen and is not sustained automatically and must be intentional on the part of all participants. New graduates make up a large percentage of the hospital staff at any given time. This represents a challenge to unit managers and educators as they seek to provide seasoned nurses to mentor the new graduates and still meet the needs of incumbent staff. Lastly, retention of experienced unit managers represents a stable work environment and is critical to successful transition of graduates into professional practice.</w:t>
      </w:r>
    </w:p>
    <w:p w:rsidR="00304954" w:rsidRDefault="00304954" w:rsidP="00276981">
      <w:pPr>
        <w:spacing w:line="240" w:lineRule="auto"/>
        <w:contextualSpacing/>
        <w:mirrorIndents/>
        <w:jc w:val="both"/>
        <w:rPr>
          <w:rFonts w:cs="Times New Roman"/>
          <w:sz w:val="20"/>
          <w:szCs w:val="20"/>
        </w:rPr>
      </w:pPr>
      <w:bookmarkStart w:id="8" w:name="_GoBack"/>
      <w:bookmarkEnd w:id="8"/>
    </w:p>
    <w:p w:rsidR="0061648B" w:rsidRPr="00550342" w:rsidRDefault="0061648B" w:rsidP="00276981">
      <w:pPr>
        <w:spacing w:line="240" w:lineRule="auto"/>
        <w:contextualSpacing/>
        <w:mirrorIndents/>
        <w:jc w:val="both"/>
        <w:rPr>
          <w:rFonts w:cs="Times New Roman"/>
          <w:b/>
          <w:sz w:val="22"/>
        </w:rPr>
      </w:pPr>
      <w:r w:rsidRPr="00550342">
        <w:rPr>
          <w:rFonts w:cs="Times New Roman"/>
          <w:b/>
          <w:sz w:val="22"/>
        </w:rPr>
        <w:t>References</w:t>
      </w:r>
    </w:p>
    <w:p w:rsidR="00BC59EF" w:rsidRPr="00276981" w:rsidRDefault="00BC59EF" w:rsidP="00276981">
      <w:pPr>
        <w:spacing w:line="240" w:lineRule="auto"/>
        <w:contextualSpacing/>
        <w:mirrorIndents/>
        <w:jc w:val="both"/>
        <w:rPr>
          <w:rFonts w:cs="Times New Roman"/>
          <w:sz w:val="20"/>
          <w:szCs w:val="20"/>
        </w:rPr>
      </w:pPr>
    </w:p>
    <w:p w:rsidR="00BC59EF" w:rsidRPr="008944B3" w:rsidRDefault="00C573DE" w:rsidP="008944B3">
      <w:pPr>
        <w:pStyle w:val="ListParagraph"/>
        <w:numPr>
          <w:ilvl w:val="0"/>
          <w:numId w:val="6"/>
        </w:numPr>
        <w:spacing w:line="240" w:lineRule="auto"/>
        <w:mirrorIndents/>
        <w:jc w:val="both"/>
        <w:rPr>
          <w:rFonts w:cs="Times New Roman"/>
          <w:sz w:val="20"/>
          <w:szCs w:val="20"/>
        </w:rPr>
      </w:pPr>
      <w:hyperlink r:id="rId7" w:history="1">
        <w:r w:rsidR="00944B51" w:rsidRPr="008944B3">
          <w:rPr>
            <w:rStyle w:val="Hyperlink"/>
            <w:rFonts w:cs="Times New Roman"/>
            <w:sz w:val="20"/>
            <w:szCs w:val="20"/>
            <w:u w:val="none"/>
          </w:rPr>
          <w:t>Mooney</w:t>
        </w:r>
        <w:r w:rsidR="00BC59EF" w:rsidRPr="008944B3">
          <w:rPr>
            <w:rStyle w:val="Hyperlink"/>
            <w:rFonts w:cs="Times New Roman"/>
            <w:sz w:val="20"/>
            <w:szCs w:val="20"/>
            <w:u w:val="none"/>
          </w:rPr>
          <w:t xml:space="preserve"> M</w:t>
        </w:r>
        <w:r w:rsidR="00944B51" w:rsidRPr="008944B3">
          <w:rPr>
            <w:rStyle w:val="Hyperlink"/>
            <w:rFonts w:cs="Times New Roman"/>
            <w:sz w:val="20"/>
            <w:szCs w:val="20"/>
            <w:u w:val="none"/>
          </w:rPr>
          <w:t xml:space="preserve"> (2007) </w:t>
        </w:r>
        <w:r w:rsidR="00BC59EF" w:rsidRPr="008944B3">
          <w:rPr>
            <w:rStyle w:val="Hyperlink"/>
            <w:rFonts w:cs="Times New Roman"/>
            <w:sz w:val="20"/>
            <w:szCs w:val="20"/>
            <w:u w:val="none"/>
          </w:rPr>
          <w:t>Professional socialization: The key to survival as a newly qualified nurse.</w:t>
        </w:r>
        <w:r w:rsidR="001344E4" w:rsidRPr="008944B3">
          <w:rPr>
            <w:rStyle w:val="Hyperlink"/>
            <w:rFonts w:cs="Times New Roman"/>
            <w:sz w:val="20"/>
            <w:szCs w:val="20"/>
            <w:u w:val="none"/>
          </w:rPr>
          <w:t xml:space="preserve"> </w:t>
        </w:r>
        <w:r w:rsidR="00BC59EF" w:rsidRPr="008944B3">
          <w:rPr>
            <w:rStyle w:val="Hyperlink"/>
            <w:rFonts w:cs="Times New Roman"/>
            <w:sz w:val="20"/>
            <w:szCs w:val="20"/>
            <w:u w:val="none"/>
          </w:rPr>
          <w:t xml:space="preserve">International </w:t>
        </w:r>
        <w:r w:rsidR="00944B51" w:rsidRPr="008944B3">
          <w:rPr>
            <w:rStyle w:val="Hyperlink"/>
            <w:rFonts w:cs="Times New Roman"/>
            <w:sz w:val="20"/>
            <w:szCs w:val="20"/>
            <w:u w:val="none"/>
          </w:rPr>
          <w:t>Journal of Nursing Practice 13:</w:t>
        </w:r>
        <w:r w:rsidR="00BC59EF" w:rsidRPr="008944B3">
          <w:rPr>
            <w:rStyle w:val="Hyperlink"/>
            <w:rFonts w:cs="Times New Roman"/>
            <w:sz w:val="20"/>
            <w:szCs w:val="20"/>
            <w:u w:val="none"/>
          </w:rPr>
          <w:t xml:space="preserve"> 75-80.</w:t>
        </w:r>
      </w:hyperlink>
    </w:p>
    <w:p w:rsidR="00346394" w:rsidRPr="008944B3" w:rsidRDefault="00C573DE" w:rsidP="008944B3">
      <w:pPr>
        <w:pStyle w:val="ListParagraph"/>
        <w:numPr>
          <w:ilvl w:val="0"/>
          <w:numId w:val="6"/>
        </w:numPr>
        <w:spacing w:line="240" w:lineRule="auto"/>
        <w:mirrorIndents/>
        <w:jc w:val="both"/>
        <w:rPr>
          <w:rFonts w:cs="Times New Roman"/>
          <w:sz w:val="20"/>
          <w:szCs w:val="20"/>
        </w:rPr>
      </w:pPr>
      <w:hyperlink r:id="rId8" w:history="1">
        <w:r w:rsidR="00BC59EF" w:rsidRPr="008944B3">
          <w:rPr>
            <w:rStyle w:val="Hyperlink"/>
            <w:rFonts w:cs="Times New Roman"/>
            <w:sz w:val="20"/>
            <w:szCs w:val="20"/>
            <w:u w:val="none"/>
          </w:rPr>
          <w:t>Kavanagh J, Szweda C</w:t>
        </w:r>
        <w:r w:rsidR="00346394" w:rsidRPr="008944B3">
          <w:rPr>
            <w:rStyle w:val="Hyperlink"/>
            <w:rFonts w:cs="Times New Roman"/>
            <w:sz w:val="20"/>
            <w:szCs w:val="20"/>
            <w:u w:val="none"/>
          </w:rPr>
          <w:t xml:space="preserve"> (2017)</w:t>
        </w:r>
        <w:r w:rsidR="00BC59EF" w:rsidRPr="008944B3">
          <w:rPr>
            <w:rStyle w:val="Hyperlink"/>
            <w:rFonts w:cs="Times New Roman"/>
            <w:sz w:val="20"/>
            <w:szCs w:val="20"/>
            <w:u w:val="none"/>
          </w:rPr>
          <w:t xml:space="preserve"> A crisis in competency: The strategic and ethical imperative to assessing the new graduate nurse’ clinical reasoning.</w:t>
        </w:r>
        <w:r w:rsidR="00346394" w:rsidRPr="008944B3">
          <w:rPr>
            <w:rStyle w:val="Hyperlink"/>
            <w:rFonts w:cs="Times New Roman"/>
            <w:sz w:val="20"/>
            <w:szCs w:val="20"/>
            <w:u w:val="none"/>
          </w:rPr>
          <w:t xml:space="preserve"> Nursing Education Perspectives </w:t>
        </w:r>
        <w:r w:rsidR="00BC59EF" w:rsidRPr="008944B3">
          <w:rPr>
            <w:rStyle w:val="Hyperlink"/>
            <w:rFonts w:cs="Times New Roman"/>
            <w:sz w:val="20"/>
            <w:szCs w:val="20"/>
            <w:u w:val="none"/>
          </w:rPr>
          <w:t>38: 57-62.</w:t>
        </w:r>
      </w:hyperlink>
    </w:p>
    <w:p w:rsidR="001F2DFE" w:rsidRPr="008944B3" w:rsidRDefault="00C573DE" w:rsidP="008944B3">
      <w:pPr>
        <w:pStyle w:val="ListParagraph"/>
        <w:numPr>
          <w:ilvl w:val="0"/>
          <w:numId w:val="6"/>
        </w:numPr>
        <w:spacing w:line="240" w:lineRule="auto"/>
        <w:mirrorIndents/>
        <w:jc w:val="both"/>
        <w:rPr>
          <w:rFonts w:cs="Times New Roman"/>
          <w:sz w:val="20"/>
          <w:szCs w:val="20"/>
        </w:rPr>
      </w:pPr>
      <w:hyperlink r:id="rId9" w:history="1">
        <w:r w:rsidR="00BC59EF" w:rsidRPr="008944B3">
          <w:rPr>
            <w:rStyle w:val="Hyperlink"/>
            <w:rFonts w:cs="Times New Roman"/>
            <w:sz w:val="20"/>
            <w:szCs w:val="20"/>
            <w:u w:val="none"/>
          </w:rPr>
          <w:t>Ortiz T</w:t>
        </w:r>
        <w:r w:rsidR="008032C4" w:rsidRPr="008944B3">
          <w:rPr>
            <w:rStyle w:val="Hyperlink"/>
            <w:rFonts w:cs="Times New Roman"/>
            <w:sz w:val="20"/>
            <w:szCs w:val="20"/>
            <w:u w:val="none"/>
          </w:rPr>
          <w:t>, Liker</w:t>
        </w:r>
        <w:r w:rsidR="00BC59EF" w:rsidRPr="008944B3">
          <w:rPr>
            <w:rStyle w:val="Hyperlink"/>
            <w:rFonts w:cs="Times New Roman"/>
            <w:sz w:val="20"/>
            <w:szCs w:val="20"/>
            <w:u w:val="none"/>
          </w:rPr>
          <w:t xml:space="preserve"> J</w:t>
        </w:r>
        <w:r w:rsidR="008032C4" w:rsidRPr="008944B3">
          <w:rPr>
            <w:rStyle w:val="Hyperlink"/>
            <w:rFonts w:cs="Times New Roman"/>
            <w:sz w:val="20"/>
            <w:szCs w:val="20"/>
            <w:u w:val="none"/>
          </w:rPr>
          <w:t xml:space="preserve"> (2015)</w:t>
        </w:r>
        <w:r w:rsidR="00BC59EF" w:rsidRPr="008944B3">
          <w:rPr>
            <w:rStyle w:val="Hyperlink"/>
            <w:rFonts w:cs="Times New Roman"/>
            <w:sz w:val="20"/>
            <w:szCs w:val="20"/>
            <w:u w:val="none"/>
          </w:rPr>
          <w:t xml:space="preserve"> </w:t>
        </w:r>
        <w:proofErr w:type="gramStart"/>
        <w:r w:rsidR="00BC59EF" w:rsidRPr="008944B3">
          <w:rPr>
            <w:rStyle w:val="Hyperlink"/>
            <w:rFonts w:cs="Times New Roman"/>
            <w:sz w:val="20"/>
            <w:szCs w:val="20"/>
            <w:u w:val="none"/>
          </w:rPr>
          <w:t>A</w:t>
        </w:r>
        <w:proofErr w:type="gramEnd"/>
        <w:r w:rsidR="00BC59EF" w:rsidRPr="008944B3">
          <w:rPr>
            <w:rStyle w:val="Hyperlink"/>
            <w:rFonts w:cs="Times New Roman"/>
            <w:sz w:val="20"/>
            <w:szCs w:val="20"/>
            <w:u w:val="none"/>
          </w:rPr>
          <w:t xml:space="preserve"> family’s growth fueled by crisis: The power of the improvement kata. Association for Manufact</w:t>
        </w:r>
        <w:r w:rsidR="001F2DFE" w:rsidRPr="008944B3">
          <w:rPr>
            <w:rStyle w:val="Hyperlink"/>
            <w:rFonts w:cs="Times New Roman"/>
            <w:sz w:val="20"/>
            <w:szCs w:val="20"/>
            <w:u w:val="none"/>
          </w:rPr>
          <w:t>uring Excellence Target Online.</w:t>
        </w:r>
      </w:hyperlink>
    </w:p>
    <w:p w:rsidR="00BC59EF" w:rsidRPr="008944B3" w:rsidRDefault="00C573DE" w:rsidP="008944B3">
      <w:pPr>
        <w:pStyle w:val="ListParagraph"/>
        <w:numPr>
          <w:ilvl w:val="0"/>
          <w:numId w:val="6"/>
        </w:numPr>
        <w:spacing w:line="240" w:lineRule="auto"/>
        <w:mirrorIndents/>
        <w:jc w:val="both"/>
        <w:rPr>
          <w:rFonts w:cs="Times New Roman"/>
          <w:sz w:val="20"/>
          <w:szCs w:val="20"/>
        </w:rPr>
      </w:pPr>
      <w:hyperlink r:id="rId10" w:history="1">
        <w:r w:rsidR="00BC59EF" w:rsidRPr="008944B3">
          <w:rPr>
            <w:rStyle w:val="Hyperlink"/>
            <w:rFonts w:cs="Times New Roman"/>
            <w:sz w:val="20"/>
            <w:szCs w:val="20"/>
            <w:u w:val="none"/>
          </w:rPr>
          <w:t>TWI (Train</w:t>
        </w:r>
        <w:r w:rsidR="00D05A73" w:rsidRPr="008944B3">
          <w:rPr>
            <w:rStyle w:val="Hyperlink"/>
            <w:rFonts w:cs="Times New Roman"/>
            <w:sz w:val="20"/>
            <w:szCs w:val="20"/>
            <w:u w:val="none"/>
          </w:rPr>
          <w:t>ing within Industry).</w:t>
        </w:r>
      </w:hyperlink>
    </w:p>
    <w:p w:rsidR="0061648B" w:rsidRPr="008944B3" w:rsidRDefault="00C573DE" w:rsidP="00C72454">
      <w:pPr>
        <w:pStyle w:val="ListParagraph"/>
        <w:numPr>
          <w:ilvl w:val="0"/>
          <w:numId w:val="6"/>
        </w:numPr>
        <w:spacing w:line="240" w:lineRule="auto"/>
        <w:mirrorIndents/>
        <w:jc w:val="both"/>
        <w:rPr>
          <w:rFonts w:cs="Times New Roman"/>
          <w:sz w:val="20"/>
          <w:szCs w:val="20"/>
        </w:rPr>
      </w:pPr>
      <w:hyperlink r:id="rId11" w:history="1">
        <w:r w:rsidR="0061648B" w:rsidRPr="00063C55">
          <w:rPr>
            <w:rStyle w:val="Hyperlink"/>
            <w:rFonts w:cs="Times New Roman"/>
            <w:sz w:val="20"/>
            <w:szCs w:val="20"/>
            <w:u w:val="none"/>
          </w:rPr>
          <w:t>Nursing Solutions Incorporated</w:t>
        </w:r>
        <w:r w:rsidR="006F779B" w:rsidRPr="00063C55">
          <w:rPr>
            <w:rStyle w:val="Hyperlink"/>
            <w:rFonts w:cs="Times New Roman"/>
            <w:sz w:val="20"/>
            <w:szCs w:val="20"/>
            <w:u w:val="none"/>
          </w:rPr>
          <w:t xml:space="preserve"> (2020)</w:t>
        </w:r>
        <w:r w:rsidR="0061648B" w:rsidRPr="00063C55">
          <w:rPr>
            <w:rStyle w:val="Hyperlink"/>
            <w:rFonts w:cs="Times New Roman"/>
            <w:sz w:val="20"/>
            <w:szCs w:val="20"/>
            <w:u w:val="none"/>
          </w:rPr>
          <w:t xml:space="preserve"> National Health Care Retentio</w:t>
        </w:r>
        <w:r w:rsidR="00053903" w:rsidRPr="00063C55">
          <w:rPr>
            <w:rStyle w:val="Hyperlink"/>
            <w:rFonts w:cs="Times New Roman"/>
            <w:sz w:val="20"/>
            <w:szCs w:val="20"/>
            <w:u w:val="none"/>
          </w:rPr>
          <w:t>n and RN Staffing Report.</w:t>
        </w:r>
      </w:hyperlink>
    </w:p>
    <w:sectPr w:rsidR="0061648B" w:rsidRPr="008944B3" w:rsidSect="001A2409">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DE" w:rsidRDefault="00C573DE" w:rsidP="00F55668">
      <w:pPr>
        <w:spacing w:line="240" w:lineRule="auto"/>
      </w:pPr>
      <w:r>
        <w:separator/>
      </w:r>
    </w:p>
  </w:endnote>
  <w:endnote w:type="continuationSeparator" w:id="0">
    <w:p w:rsidR="00C573DE" w:rsidRDefault="00C573DE" w:rsidP="00F55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DE" w:rsidRDefault="00C573DE" w:rsidP="00F55668">
      <w:pPr>
        <w:spacing w:line="240" w:lineRule="auto"/>
      </w:pPr>
      <w:r>
        <w:separator/>
      </w:r>
    </w:p>
  </w:footnote>
  <w:footnote w:type="continuationSeparator" w:id="0">
    <w:p w:rsidR="00C573DE" w:rsidRDefault="00C573DE" w:rsidP="00F55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51" w:rsidRPr="00594655" w:rsidRDefault="009D3151" w:rsidP="009D3151">
    <w:pPr>
      <w:tabs>
        <w:tab w:val="left" w:pos="7426"/>
      </w:tabs>
      <w:spacing w:line="240" w:lineRule="auto"/>
      <w:contextualSpacing/>
      <w:mirrorIndents/>
      <w:jc w:val="both"/>
      <w:rPr>
        <w:rFonts w:cs="Times New Roman"/>
        <w:sz w:val="20"/>
        <w:szCs w:val="20"/>
      </w:rPr>
    </w:pPr>
    <w:r w:rsidRPr="00594655">
      <w:rPr>
        <w:rFonts w:cs="Times New Roman"/>
        <w:noProof/>
        <w:sz w:val="20"/>
        <w:szCs w:val="20"/>
      </w:rPr>
      <w:drawing>
        <wp:anchor distT="0" distB="0" distL="114300" distR="114300" simplePos="0" relativeHeight="251659264" behindDoc="0" locked="0" layoutInCell="1" allowOverlap="1" wp14:anchorId="4AAEC7C7" wp14:editId="2E33006D">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9D3151" w:rsidRPr="00CE7D47" w:rsidRDefault="009D3151" w:rsidP="009D3151">
    <w:pPr>
      <w:tabs>
        <w:tab w:val="left" w:pos="7426"/>
      </w:tabs>
      <w:spacing w:line="240" w:lineRule="auto"/>
      <w:contextualSpacing/>
      <w:mirrorIndents/>
      <w:jc w:val="both"/>
      <w:rPr>
        <w:rFonts w:cs="Times New Roman"/>
        <w:sz w:val="22"/>
      </w:rPr>
    </w:pPr>
    <w:r w:rsidRPr="00CE7D47">
      <w:rPr>
        <w:rFonts w:cs="Times New Roman"/>
        <w:sz w:val="22"/>
      </w:rPr>
      <w:t>Columbus Publishers</w:t>
    </w:r>
  </w:p>
  <w:p w:rsidR="009D3151" w:rsidRPr="00CE7D47" w:rsidRDefault="009D3151" w:rsidP="009D3151">
    <w:pPr>
      <w:tabs>
        <w:tab w:val="left" w:pos="7426"/>
      </w:tabs>
      <w:spacing w:line="240" w:lineRule="auto"/>
      <w:contextualSpacing/>
      <w:mirrorIndents/>
      <w:jc w:val="both"/>
      <w:rPr>
        <w:rFonts w:cs="Times New Roman"/>
        <w:sz w:val="22"/>
      </w:rPr>
    </w:pPr>
    <w:r w:rsidRPr="00CE7D47">
      <w:rPr>
        <w:rFonts w:cs="Times New Roman"/>
        <w:sz w:val="22"/>
      </w:rPr>
      <w:t>International Journal of Nursing and Health Care Science</w:t>
    </w:r>
  </w:p>
  <w:p w:rsidR="009D3151" w:rsidRPr="00CE7D47" w:rsidRDefault="009D3151" w:rsidP="009D3151">
    <w:pPr>
      <w:spacing w:line="240" w:lineRule="auto"/>
      <w:contextualSpacing/>
      <w:mirrorIndents/>
      <w:jc w:val="both"/>
      <w:rPr>
        <w:rFonts w:cs="Times New Roman"/>
        <w:sz w:val="22"/>
      </w:rPr>
    </w:pPr>
    <w:r w:rsidRPr="00CE7D47">
      <w:rPr>
        <w:rFonts w:cs="Times New Roman"/>
        <w:sz w:val="22"/>
      </w:rPr>
      <w:t>Volume 02: Issue 06</w:t>
    </w:r>
  </w:p>
  <w:p w:rsidR="009D3151" w:rsidRDefault="00594655" w:rsidP="009D3151">
    <w:pPr>
      <w:spacing w:line="240" w:lineRule="auto"/>
      <w:contextualSpacing/>
      <w:mirrorIndents/>
      <w:jc w:val="both"/>
      <w:rPr>
        <w:rFonts w:cs="Times New Roman"/>
        <w:sz w:val="20"/>
        <w:szCs w:val="20"/>
      </w:rPr>
    </w:pPr>
    <w:r w:rsidRPr="00CE7D47">
      <w:rPr>
        <w:rFonts w:cs="Times New Roman"/>
        <w:sz w:val="22"/>
      </w:rPr>
      <w:t>Boling A,</w:t>
    </w:r>
    <w:r w:rsidR="009D3151" w:rsidRPr="00CE7D47">
      <w:rPr>
        <w:rFonts w:cs="Times New Roman"/>
        <w:sz w:val="22"/>
      </w:rPr>
      <w:t xml:space="preserve"> et al.</w:t>
    </w:r>
    <w:r>
      <w:rPr>
        <w:rFonts w:cs="Times New Roman"/>
        <w:sz w:val="20"/>
        <w:szCs w:val="20"/>
      </w:rPr>
      <w:t xml:space="preserve"> </w:t>
    </w:r>
  </w:p>
  <w:p w:rsidR="00594655" w:rsidRPr="00594655" w:rsidRDefault="00594655" w:rsidP="009D3151">
    <w:pPr>
      <w:spacing w:line="240" w:lineRule="auto"/>
      <w:contextualSpacing/>
      <w:mirrorIndents/>
      <w:jc w:val="both"/>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41C"/>
    <w:multiLevelType w:val="hybridMultilevel"/>
    <w:tmpl w:val="FD206C70"/>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15:restartNumberingAfterBreak="0">
    <w:nsid w:val="4A6A7F51"/>
    <w:multiLevelType w:val="hybridMultilevel"/>
    <w:tmpl w:val="1916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EB47DB"/>
    <w:multiLevelType w:val="hybridMultilevel"/>
    <w:tmpl w:val="91BEC680"/>
    <w:lvl w:ilvl="0" w:tplc="D85A9D9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1B18BD"/>
    <w:multiLevelType w:val="hybridMultilevel"/>
    <w:tmpl w:val="8620E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96DF9"/>
    <w:multiLevelType w:val="hybridMultilevel"/>
    <w:tmpl w:val="828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67984"/>
    <w:multiLevelType w:val="hybridMultilevel"/>
    <w:tmpl w:val="D3D4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8"/>
    <w:rsid w:val="000166B7"/>
    <w:rsid w:val="00041B30"/>
    <w:rsid w:val="00053903"/>
    <w:rsid w:val="00063C55"/>
    <w:rsid w:val="0008302C"/>
    <w:rsid w:val="000A66C6"/>
    <w:rsid w:val="000C4800"/>
    <w:rsid w:val="000D7D5B"/>
    <w:rsid w:val="0010227A"/>
    <w:rsid w:val="00131174"/>
    <w:rsid w:val="001344E4"/>
    <w:rsid w:val="00153DDD"/>
    <w:rsid w:val="00166F3A"/>
    <w:rsid w:val="00185C4F"/>
    <w:rsid w:val="001964F9"/>
    <w:rsid w:val="001A2409"/>
    <w:rsid w:val="001A7788"/>
    <w:rsid w:val="001F2DFE"/>
    <w:rsid w:val="00213087"/>
    <w:rsid w:val="002161BA"/>
    <w:rsid w:val="00271F64"/>
    <w:rsid w:val="00276981"/>
    <w:rsid w:val="002C0929"/>
    <w:rsid w:val="002C480B"/>
    <w:rsid w:val="002F56B7"/>
    <w:rsid w:val="002F6124"/>
    <w:rsid w:val="003035AC"/>
    <w:rsid w:val="00304954"/>
    <w:rsid w:val="00306A55"/>
    <w:rsid w:val="00346394"/>
    <w:rsid w:val="0036477A"/>
    <w:rsid w:val="00386643"/>
    <w:rsid w:val="003D4235"/>
    <w:rsid w:val="00404425"/>
    <w:rsid w:val="00416E04"/>
    <w:rsid w:val="004304AD"/>
    <w:rsid w:val="00455A5B"/>
    <w:rsid w:val="00455B57"/>
    <w:rsid w:val="004877B2"/>
    <w:rsid w:val="004C15DA"/>
    <w:rsid w:val="004D4D27"/>
    <w:rsid w:val="004F3C16"/>
    <w:rsid w:val="00531E5A"/>
    <w:rsid w:val="00550342"/>
    <w:rsid w:val="00564632"/>
    <w:rsid w:val="005832B4"/>
    <w:rsid w:val="00592CD4"/>
    <w:rsid w:val="00594655"/>
    <w:rsid w:val="005B5992"/>
    <w:rsid w:val="005F5594"/>
    <w:rsid w:val="006011AF"/>
    <w:rsid w:val="006078CB"/>
    <w:rsid w:val="0061648B"/>
    <w:rsid w:val="00695F7C"/>
    <w:rsid w:val="006A3B95"/>
    <w:rsid w:val="006A6F1A"/>
    <w:rsid w:val="006C0DA5"/>
    <w:rsid w:val="006E4BB3"/>
    <w:rsid w:val="006F3E15"/>
    <w:rsid w:val="006F779B"/>
    <w:rsid w:val="00734714"/>
    <w:rsid w:val="00737CBF"/>
    <w:rsid w:val="00742DC5"/>
    <w:rsid w:val="00775B95"/>
    <w:rsid w:val="00776202"/>
    <w:rsid w:val="0079044F"/>
    <w:rsid w:val="007A3AD7"/>
    <w:rsid w:val="007C6248"/>
    <w:rsid w:val="007D3280"/>
    <w:rsid w:val="007D3CAC"/>
    <w:rsid w:val="008032C4"/>
    <w:rsid w:val="00814852"/>
    <w:rsid w:val="00822864"/>
    <w:rsid w:val="0084377A"/>
    <w:rsid w:val="00845C1F"/>
    <w:rsid w:val="00876A13"/>
    <w:rsid w:val="00880460"/>
    <w:rsid w:val="008850B0"/>
    <w:rsid w:val="0089119B"/>
    <w:rsid w:val="00892AF2"/>
    <w:rsid w:val="008944B3"/>
    <w:rsid w:val="008A109F"/>
    <w:rsid w:val="008C2594"/>
    <w:rsid w:val="008C2A74"/>
    <w:rsid w:val="008C5B87"/>
    <w:rsid w:val="008D502B"/>
    <w:rsid w:val="008E4F7F"/>
    <w:rsid w:val="00932AF8"/>
    <w:rsid w:val="009419ED"/>
    <w:rsid w:val="00944B51"/>
    <w:rsid w:val="0094702D"/>
    <w:rsid w:val="009526FF"/>
    <w:rsid w:val="009B271B"/>
    <w:rsid w:val="009D13B0"/>
    <w:rsid w:val="009D3151"/>
    <w:rsid w:val="009F08AB"/>
    <w:rsid w:val="00A014E0"/>
    <w:rsid w:val="00A06336"/>
    <w:rsid w:val="00A16F73"/>
    <w:rsid w:val="00AA1A96"/>
    <w:rsid w:val="00AC1EE2"/>
    <w:rsid w:val="00AC5821"/>
    <w:rsid w:val="00AE44DD"/>
    <w:rsid w:val="00AF3AA4"/>
    <w:rsid w:val="00B036F5"/>
    <w:rsid w:val="00B12700"/>
    <w:rsid w:val="00B152FE"/>
    <w:rsid w:val="00B31406"/>
    <w:rsid w:val="00B64004"/>
    <w:rsid w:val="00B705E1"/>
    <w:rsid w:val="00B84908"/>
    <w:rsid w:val="00BB677F"/>
    <w:rsid w:val="00BC59EF"/>
    <w:rsid w:val="00BD5665"/>
    <w:rsid w:val="00BE219C"/>
    <w:rsid w:val="00BE37E5"/>
    <w:rsid w:val="00BF5CE6"/>
    <w:rsid w:val="00C0725D"/>
    <w:rsid w:val="00C349EC"/>
    <w:rsid w:val="00C41B80"/>
    <w:rsid w:val="00C573DE"/>
    <w:rsid w:val="00C62D73"/>
    <w:rsid w:val="00C7110F"/>
    <w:rsid w:val="00C8635B"/>
    <w:rsid w:val="00CC209A"/>
    <w:rsid w:val="00CE7D47"/>
    <w:rsid w:val="00D05A73"/>
    <w:rsid w:val="00D16B20"/>
    <w:rsid w:val="00D27571"/>
    <w:rsid w:val="00D53D78"/>
    <w:rsid w:val="00D55243"/>
    <w:rsid w:val="00D75F21"/>
    <w:rsid w:val="00D7717A"/>
    <w:rsid w:val="00D818A6"/>
    <w:rsid w:val="00DA3FA6"/>
    <w:rsid w:val="00DA4A60"/>
    <w:rsid w:val="00DE023B"/>
    <w:rsid w:val="00DF2BB3"/>
    <w:rsid w:val="00DF3D89"/>
    <w:rsid w:val="00E044F7"/>
    <w:rsid w:val="00E85D35"/>
    <w:rsid w:val="00E97381"/>
    <w:rsid w:val="00EA1CC9"/>
    <w:rsid w:val="00EB57C6"/>
    <w:rsid w:val="00EC5D1E"/>
    <w:rsid w:val="00F033A8"/>
    <w:rsid w:val="00F06430"/>
    <w:rsid w:val="00F27504"/>
    <w:rsid w:val="00F275D8"/>
    <w:rsid w:val="00F55668"/>
    <w:rsid w:val="00F80396"/>
    <w:rsid w:val="00F94EBB"/>
    <w:rsid w:val="00F96618"/>
    <w:rsid w:val="00FA34A8"/>
    <w:rsid w:val="00FD5F96"/>
    <w:rsid w:val="00FD7F11"/>
    <w:rsid w:val="00FF50F7"/>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14FC"/>
  <w15:chartTrackingRefBased/>
  <w15:docId w15:val="{EDECD551-DEF6-4574-BD0E-8A72D3D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68"/>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68"/>
    <w:pPr>
      <w:tabs>
        <w:tab w:val="center" w:pos="4680"/>
        <w:tab w:val="right" w:pos="9360"/>
      </w:tabs>
      <w:spacing w:line="240" w:lineRule="auto"/>
    </w:pPr>
  </w:style>
  <w:style w:type="character" w:customStyle="1" w:styleId="HeaderChar">
    <w:name w:val="Header Char"/>
    <w:basedOn w:val="DefaultParagraphFont"/>
    <w:link w:val="Header"/>
    <w:uiPriority w:val="99"/>
    <w:rsid w:val="00F55668"/>
  </w:style>
  <w:style w:type="paragraph" w:styleId="Footer">
    <w:name w:val="footer"/>
    <w:basedOn w:val="Normal"/>
    <w:link w:val="FooterChar"/>
    <w:uiPriority w:val="99"/>
    <w:unhideWhenUsed/>
    <w:rsid w:val="00F55668"/>
    <w:pPr>
      <w:tabs>
        <w:tab w:val="center" w:pos="4680"/>
        <w:tab w:val="right" w:pos="9360"/>
      </w:tabs>
      <w:spacing w:line="240" w:lineRule="auto"/>
    </w:pPr>
  </w:style>
  <w:style w:type="character" w:customStyle="1" w:styleId="FooterChar">
    <w:name w:val="Footer Char"/>
    <w:basedOn w:val="DefaultParagraphFont"/>
    <w:link w:val="Footer"/>
    <w:uiPriority w:val="99"/>
    <w:rsid w:val="00F55668"/>
  </w:style>
  <w:style w:type="table" w:styleId="TableGrid">
    <w:name w:val="Table Grid"/>
    <w:basedOn w:val="TableNormal"/>
    <w:uiPriority w:val="39"/>
    <w:rsid w:val="004D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D27"/>
    <w:pPr>
      <w:ind w:left="720"/>
      <w:contextualSpacing/>
    </w:pPr>
  </w:style>
  <w:style w:type="character" w:styleId="Hyperlink">
    <w:name w:val="Hyperlink"/>
    <w:basedOn w:val="DefaultParagraphFont"/>
    <w:uiPriority w:val="99"/>
    <w:unhideWhenUsed/>
    <w:rsid w:val="00DA4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4506">
      <w:bodyDiv w:val="1"/>
      <w:marLeft w:val="0"/>
      <w:marRight w:val="0"/>
      <w:marTop w:val="0"/>
      <w:marBottom w:val="0"/>
      <w:divBdr>
        <w:top w:val="none" w:sz="0" w:space="0" w:color="auto"/>
        <w:left w:val="none" w:sz="0" w:space="0" w:color="auto"/>
        <w:bottom w:val="none" w:sz="0" w:space="0" w:color="auto"/>
        <w:right w:val="none" w:sz="0" w:space="0" w:color="auto"/>
      </w:divBdr>
    </w:div>
    <w:div w:id="407776653">
      <w:bodyDiv w:val="1"/>
      <w:marLeft w:val="0"/>
      <w:marRight w:val="0"/>
      <w:marTop w:val="0"/>
      <w:marBottom w:val="0"/>
      <w:divBdr>
        <w:top w:val="none" w:sz="0" w:space="0" w:color="auto"/>
        <w:left w:val="none" w:sz="0" w:space="0" w:color="auto"/>
        <w:bottom w:val="none" w:sz="0" w:space="0" w:color="auto"/>
        <w:right w:val="none" w:sz="0" w:space="0" w:color="auto"/>
      </w:divBdr>
    </w:div>
    <w:div w:id="613251943">
      <w:bodyDiv w:val="1"/>
      <w:marLeft w:val="0"/>
      <w:marRight w:val="0"/>
      <w:marTop w:val="0"/>
      <w:marBottom w:val="0"/>
      <w:divBdr>
        <w:top w:val="none" w:sz="0" w:space="0" w:color="auto"/>
        <w:left w:val="none" w:sz="0" w:space="0" w:color="auto"/>
        <w:bottom w:val="none" w:sz="0" w:space="0" w:color="auto"/>
        <w:right w:val="none" w:sz="0" w:space="0" w:color="auto"/>
      </w:divBdr>
    </w:div>
    <w:div w:id="20115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91942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173945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inursingsolutions.com/Documents/Library/NSI_National_Health_Care_Retention_Report.pdf" TargetMode="External"/><Relationship Id="rId5" Type="http://schemas.openxmlformats.org/officeDocument/2006/relationships/footnotes" Target="footnotes.xml"/><Relationship Id="rId10" Type="http://schemas.openxmlformats.org/officeDocument/2006/relationships/hyperlink" Target="https://www.twi-institute.com/" TargetMode="External"/><Relationship Id="rId4" Type="http://schemas.openxmlformats.org/officeDocument/2006/relationships/webSettings" Target="webSettings.xml"/><Relationship Id="rId9" Type="http://schemas.openxmlformats.org/officeDocument/2006/relationships/hyperlink" Target="http://wwwpersonal.umich.edu/~mrother/KATA_Files/Ortiz_KATA.articl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Boling (BCHS Employee)</dc:creator>
  <cp:keywords/>
  <dc:description/>
  <cp:lastModifiedBy>Allison Parker</cp:lastModifiedBy>
  <cp:revision>153</cp:revision>
  <dcterms:created xsi:type="dcterms:W3CDTF">2021-02-19T17:19:00Z</dcterms:created>
  <dcterms:modified xsi:type="dcterms:W3CDTF">2022-06-23T09:47:00Z</dcterms:modified>
</cp:coreProperties>
</file>