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16325" w14:textId="317B6B1E" w:rsidR="00403124" w:rsidRPr="003C2E42" w:rsidRDefault="00F2469C" w:rsidP="008D02CA">
      <w:pPr>
        <w:spacing w:line="240" w:lineRule="auto"/>
        <w:contextualSpacing/>
        <w:mirrorIndents/>
        <w:jc w:val="both"/>
        <w:rPr>
          <w:rFonts w:ascii="Times New Roman" w:hAnsi="Times New Roman" w:cs="Times New Roman"/>
          <w:sz w:val="20"/>
          <w:szCs w:val="20"/>
        </w:rPr>
      </w:pPr>
      <w:bookmarkStart w:id="0" w:name="_Hlk80644789"/>
      <w:bookmarkStart w:id="1" w:name="_Hlk122858082"/>
      <w:bookmarkStart w:id="2" w:name="_Hlk111101270"/>
      <w:bookmarkStart w:id="3" w:name="_Hlk112882866"/>
      <w:r>
        <w:rPr>
          <w:rFonts w:ascii="Times New Roman" w:hAnsi="Times New Roman" w:cs="Times New Roman"/>
          <w:b/>
          <w:bCs/>
          <w:szCs w:val="20"/>
        </w:rPr>
        <w:t>Review Article</w:t>
      </w:r>
    </w:p>
    <w:p w14:paraId="52D55DB4" w14:textId="77777777" w:rsidR="00403124" w:rsidRPr="003C2E42" w:rsidRDefault="00403124" w:rsidP="008D02CA">
      <w:pPr>
        <w:spacing w:line="240" w:lineRule="auto"/>
        <w:contextualSpacing/>
        <w:mirrorIndents/>
        <w:jc w:val="both"/>
        <w:rPr>
          <w:rFonts w:ascii="Times New Roman" w:hAnsi="Times New Roman" w:cs="Times New Roman"/>
          <w:sz w:val="20"/>
          <w:szCs w:val="20"/>
        </w:rPr>
      </w:pPr>
    </w:p>
    <w:p w14:paraId="5E78A55F" w14:textId="3659CC91" w:rsidR="00403124" w:rsidRPr="00D82095" w:rsidRDefault="00F70418" w:rsidP="007C3E64">
      <w:pPr>
        <w:spacing w:line="240" w:lineRule="auto"/>
        <w:contextualSpacing/>
        <w:mirrorIndents/>
        <w:jc w:val="center"/>
        <w:rPr>
          <w:rFonts w:ascii="Times New Roman" w:hAnsi="Times New Roman" w:cs="Times New Roman"/>
          <w:b/>
          <w:sz w:val="30"/>
          <w:szCs w:val="30"/>
        </w:rPr>
      </w:pPr>
      <w:r w:rsidRPr="00F70418">
        <w:rPr>
          <w:rFonts w:ascii="Times New Roman" w:hAnsi="Times New Roman" w:cs="Times New Roman"/>
          <w:b/>
          <w:sz w:val="30"/>
          <w:szCs w:val="30"/>
        </w:rPr>
        <w:t>Evaluating the Impact of Pre-Visiting Planning on the Effectiveness of Primary Care Appointments for Patients with Type Two Diabetes</w:t>
      </w:r>
    </w:p>
    <w:p w14:paraId="556D0554" w14:textId="77777777" w:rsidR="00403124" w:rsidRPr="003C2E42" w:rsidRDefault="00403124" w:rsidP="008D02CA">
      <w:pPr>
        <w:spacing w:line="240" w:lineRule="auto"/>
        <w:contextualSpacing/>
        <w:mirrorIndents/>
        <w:jc w:val="both"/>
        <w:rPr>
          <w:rFonts w:ascii="Times New Roman" w:hAnsi="Times New Roman" w:cs="Times New Roman"/>
          <w:sz w:val="20"/>
          <w:szCs w:val="20"/>
        </w:rPr>
      </w:pPr>
    </w:p>
    <w:p w14:paraId="52723CDC" w14:textId="62889C6C" w:rsidR="00403124" w:rsidRDefault="00C3406F" w:rsidP="008D02CA">
      <w:pPr>
        <w:spacing w:line="240" w:lineRule="auto"/>
        <w:contextualSpacing/>
        <w:mirrorIndents/>
        <w:jc w:val="both"/>
        <w:rPr>
          <w:rFonts w:ascii="Times New Roman" w:hAnsi="Times New Roman" w:cs="Times New Roman"/>
          <w:b/>
          <w:bCs/>
          <w:color w:val="FF0000"/>
          <w:sz w:val="20"/>
          <w:szCs w:val="20"/>
          <w:vertAlign w:val="superscript"/>
        </w:rPr>
      </w:pPr>
      <w:r w:rsidRPr="00C3406F">
        <w:rPr>
          <w:rFonts w:ascii="Times New Roman" w:hAnsi="Times New Roman" w:cs="Times New Roman"/>
          <w:b/>
          <w:bCs/>
          <w:szCs w:val="20"/>
        </w:rPr>
        <w:t>Martha Robinson, FNP-BC</w:t>
      </w:r>
      <w:r w:rsidR="00403124" w:rsidRPr="00721164">
        <w:rPr>
          <w:rFonts w:ascii="Times New Roman" w:hAnsi="Times New Roman" w:cs="Times New Roman"/>
          <w:b/>
          <w:bCs/>
          <w:color w:val="FF0000"/>
          <w:szCs w:val="20"/>
          <w:vertAlign w:val="superscript"/>
        </w:rPr>
        <w:t>#</w:t>
      </w:r>
    </w:p>
    <w:p w14:paraId="0395997E" w14:textId="77777777" w:rsidR="00403124" w:rsidRPr="00B54D02" w:rsidRDefault="00403124" w:rsidP="008D02CA">
      <w:pPr>
        <w:spacing w:line="240" w:lineRule="auto"/>
        <w:contextualSpacing/>
        <w:mirrorIndents/>
        <w:jc w:val="both"/>
        <w:rPr>
          <w:rFonts w:ascii="Times New Roman" w:hAnsi="Times New Roman" w:cs="Times New Roman"/>
          <w:bCs/>
          <w:color w:val="FF0000"/>
          <w:sz w:val="20"/>
          <w:szCs w:val="20"/>
        </w:rPr>
      </w:pPr>
    </w:p>
    <w:p w14:paraId="6CD9AD1C" w14:textId="2A8208E9" w:rsidR="00B14D80" w:rsidRDefault="00403124" w:rsidP="008D407F">
      <w:pPr>
        <w:spacing w:line="240" w:lineRule="auto"/>
        <w:contextualSpacing/>
        <w:mirrorIndents/>
        <w:jc w:val="both"/>
        <w:rPr>
          <w:rFonts w:ascii="Times New Roman" w:eastAsiaTheme="majorEastAsia" w:hAnsi="Times New Roman" w:cs="Times New Roman"/>
          <w:sz w:val="20"/>
          <w:szCs w:val="20"/>
        </w:rPr>
      </w:pPr>
      <w:r w:rsidRPr="003C2E42">
        <w:rPr>
          <w:rFonts w:ascii="Times New Roman" w:hAnsi="Times New Roman" w:cs="Times New Roman"/>
          <w:bCs/>
          <w:color w:val="FF0000"/>
          <w:sz w:val="20"/>
          <w:szCs w:val="20"/>
          <w:vertAlign w:val="superscript"/>
        </w:rPr>
        <w:t>#</w:t>
      </w:r>
      <w:r w:rsidR="008D407F" w:rsidRPr="008D407F">
        <w:rPr>
          <w:rFonts w:ascii="Times New Roman" w:eastAsiaTheme="majorEastAsia" w:hAnsi="Times New Roman" w:cs="Times New Roman"/>
          <w:sz w:val="20"/>
          <w:szCs w:val="20"/>
        </w:rPr>
        <w:t>School of Nursing</w:t>
      </w:r>
      <w:r w:rsidR="00BC6D9B">
        <w:rPr>
          <w:rFonts w:ascii="Times New Roman" w:eastAsiaTheme="majorEastAsia" w:hAnsi="Times New Roman" w:cs="Times New Roman"/>
          <w:sz w:val="20"/>
          <w:szCs w:val="20"/>
        </w:rPr>
        <w:t xml:space="preserve">, </w:t>
      </w:r>
      <w:r w:rsidR="008D407F" w:rsidRPr="008D407F">
        <w:rPr>
          <w:rFonts w:ascii="Times New Roman" w:eastAsiaTheme="majorEastAsia" w:hAnsi="Times New Roman" w:cs="Times New Roman"/>
          <w:sz w:val="20"/>
          <w:szCs w:val="20"/>
        </w:rPr>
        <w:t>University at Buffalo</w:t>
      </w:r>
      <w:r w:rsidR="00780DBB">
        <w:rPr>
          <w:rFonts w:ascii="Times New Roman" w:eastAsiaTheme="majorEastAsia" w:hAnsi="Times New Roman" w:cs="Times New Roman"/>
          <w:sz w:val="20"/>
          <w:szCs w:val="20"/>
        </w:rPr>
        <w:t xml:space="preserve">, </w:t>
      </w:r>
      <w:r w:rsidR="00AB36FF" w:rsidRPr="00AB36FF">
        <w:rPr>
          <w:rFonts w:ascii="Times New Roman" w:eastAsiaTheme="majorEastAsia" w:hAnsi="Times New Roman" w:cs="Times New Roman"/>
          <w:sz w:val="20"/>
          <w:szCs w:val="20"/>
        </w:rPr>
        <w:t>New York</w:t>
      </w:r>
      <w:r w:rsidR="00A758D5">
        <w:rPr>
          <w:rFonts w:ascii="Times New Roman" w:eastAsiaTheme="majorEastAsia" w:hAnsi="Times New Roman" w:cs="Times New Roman"/>
          <w:sz w:val="20"/>
          <w:szCs w:val="20"/>
        </w:rPr>
        <w:t>, USA</w:t>
      </w:r>
    </w:p>
    <w:p w14:paraId="4F0D9204" w14:textId="77777777" w:rsidR="00A758D5" w:rsidRPr="003C2E42" w:rsidRDefault="00A758D5" w:rsidP="008D407F">
      <w:pPr>
        <w:spacing w:line="240" w:lineRule="auto"/>
        <w:contextualSpacing/>
        <w:mirrorIndents/>
        <w:jc w:val="both"/>
        <w:rPr>
          <w:rFonts w:ascii="Times New Roman" w:hAnsi="Times New Roman" w:cs="Times New Roman"/>
          <w:sz w:val="20"/>
          <w:szCs w:val="20"/>
        </w:rPr>
      </w:pPr>
    </w:p>
    <w:p w14:paraId="28039BDE" w14:textId="4D6132B5" w:rsidR="00403124" w:rsidRDefault="00403124" w:rsidP="008D02CA">
      <w:pPr>
        <w:spacing w:line="240" w:lineRule="auto"/>
        <w:contextualSpacing/>
        <w:mirrorIndents/>
        <w:jc w:val="both"/>
        <w:rPr>
          <w:rFonts w:ascii="Times New Roman" w:eastAsiaTheme="majorEastAsia" w:hAnsi="Times New Roman" w:cs="Times New Roman"/>
          <w:sz w:val="20"/>
          <w:szCs w:val="20"/>
        </w:rPr>
      </w:pPr>
      <w:r w:rsidRPr="003C2E42">
        <w:rPr>
          <w:rFonts w:ascii="Times New Roman" w:hAnsi="Times New Roman" w:cs="Times New Roman"/>
          <w:b/>
          <w:bCs/>
          <w:color w:val="FF0000"/>
          <w:sz w:val="20"/>
          <w:szCs w:val="20"/>
          <w:vertAlign w:val="superscript"/>
        </w:rPr>
        <w:t>#</w:t>
      </w:r>
      <w:r w:rsidRPr="003C2E42">
        <w:rPr>
          <w:rFonts w:ascii="Times New Roman" w:hAnsi="Times New Roman" w:cs="Times New Roman"/>
          <w:b/>
          <w:bCs/>
          <w:sz w:val="20"/>
          <w:szCs w:val="20"/>
        </w:rPr>
        <w:t>Corresponding author:</w:t>
      </w:r>
      <w:r w:rsidRPr="003C2E42">
        <w:rPr>
          <w:rFonts w:ascii="Times New Roman" w:hAnsi="Times New Roman" w:cs="Times New Roman"/>
          <w:sz w:val="20"/>
          <w:szCs w:val="20"/>
        </w:rPr>
        <w:t xml:space="preserve"> </w:t>
      </w:r>
      <w:r w:rsidR="008D053B" w:rsidRPr="008D053B">
        <w:rPr>
          <w:rFonts w:ascii="Times New Roman" w:hAnsi="Times New Roman" w:cs="Times New Roman"/>
          <w:sz w:val="20"/>
          <w:szCs w:val="20"/>
        </w:rPr>
        <w:t>Martha Robinson, FNP-BC</w:t>
      </w:r>
      <w:r w:rsidR="008D053B">
        <w:rPr>
          <w:rFonts w:ascii="Times New Roman" w:hAnsi="Times New Roman" w:cs="Times New Roman"/>
          <w:sz w:val="20"/>
          <w:szCs w:val="20"/>
        </w:rPr>
        <w:t xml:space="preserve">, </w:t>
      </w:r>
      <w:r w:rsidR="0012277C">
        <w:rPr>
          <w:rFonts w:ascii="Times New Roman" w:hAnsi="Times New Roman" w:cs="Times New Roman"/>
          <w:sz w:val="20"/>
          <w:szCs w:val="20"/>
        </w:rPr>
        <w:t xml:space="preserve">Instructor, </w:t>
      </w:r>
      <w:r w:rsidR="00AB0061" w:rsidRPr="008D407F">
        <w:rPr>
          <w:rFonts w:ascii="Times New Roman" w:eastAsiaTheme="majorEastAsia" w:hAnsi="Times New Roman" w:cs="Times New Roman"/>
          <w:sz w:val="20"/>
          <w:szCs w:val="20"/>
        </w:rPr>
        <w:t>School of Nursing</w:t>
      </w:r>
      <w:r w:rsidR="00AB0061">
        <w:rPr>
          <w:rFonts w:ascii="Times New Roman" w:eastAsiaTheme="majorEastAsia" w:hAnsi="Times New Roman" w:cs="Times New Roman"/>
          <w:sz w:val="20"/>
          <w:szCs w:val="20"/>
        </w:rPr>
        <w:t xml:space="preserve">, </w:t>
      </w:r>
      <w:r w:rsidR="00AB0061" w:rsidRPr="008D407F">
        <w:rPr>
          <w:rFonts w:ascii="Times New Roman" w:eastAsiaTheme="majorEastAsia" w:hAnsi="Times New Roman" w:cs="Times New Roman"/>
          <w:sz w:val="20"/>
          <w:szCs w:val="20"/>
        </w:rPr>
        <w:t>University at Buffalo</w:t>
      </w:r>
      <w:r w:rsidR="00176D7A">
        <w:rPr>
          <w:rFonts w:ascii="Times New Roman" w:eastAsiaTheme="majorEastAsia" w:hAnsi="Times New Roman" w:cs="Times New Roman"/>
          <w:sz w:val="20"/>
          <w:szCs w:val="20"/>
        </w:rPr>
        <w:t xml:space="preserve">, </w:t>
      </w:r>
      <w:r w:rsidR="00CB576E">
        <w:rPr>
          <w:rFonts w:ascii="Times New Roman" w:eastAsiaTheme="majorEastAsia" w:hAnsi="Times New Roman" w:cs="Times New Roman"/>
          <w:sz w:val="20"/>
          <w:szCs w:val="20"/>
        </w:rPr>
        <w:t xml:space="preserve">3435 Main St., </w:t>
      </w:r>
      <w:proofErr w:type="spellStart"/>
      <w:r w:rsidR="00DE5610" w:rsidRPr="00DE5610">
        <w:rPr>
          <w:rFonts w:ascii="Times New Roman" w:eastAsiaTheme="majorEastAsia" w:hAnsi="Times New Roman" w:cs="Times New Roman"/>
          <w:sz w:val="20"/>
          <w:szCs w:val="20"/>
        </w:rPr>
        <w:t>Wende</w:t>
      </w:r>
      <w:proofErr w:type="spellEnd"/>
      <w:r w:rsidR="00DE5610" w:rsidRPr="00DE5610">
        <w:rPr>
          <w:rFonts w:ascii="Times New Roman" w:eastAsiaTheme="majorEastAsia" w:hAnsi="Times New Roman" w:cs="Times New Roman"/>
          <w:sz w:val="20"/>
          <w:szCs w:val="20"/>
        </w:rPr>
        <w:t xml:space="preserve"> Hall</w:t>
      </w:r>
      <w:r w:rsidR="00DF2553">
        <w:rPr>
          <w:rFonts w:ascii="Times New Roman" w:eastAsiaTheme="majorEastAsia" w:hAnsi="Times New Roman" w:cs="Times New Roman"/>
          <w:sz w:val="20"/>
          <w:szCs w:val="20"/>
        </w:rPr>
        <w:t>,</w:t>
      </w:r>
      <w:r w:rsidR="00DE5610" w:rsidRPr="00DE5610">
        <w:rPr>
          <w:rFonts w:ascii="Times New Roman" w:eastAsiaTheme="majorEastAsia" w:hAnsi="Times New Roman" w:cs="Times New Roman"/>
          <w:sz w:val="20"/>
          <w:szCs w:val="20"/>
        </w:rPr>
        <w:t xml:space="preserve"> Buffalo, </w:t>
      </w:r>
      <w:r w:rsidR="003B1677" w:rsidRPr="003B1677">
        <w:rPr>
          <w:rFonts w:ascii="Times New Roman" w:eastAsiaTheme="majorEastAsia" w:hAnsi="Times New Roman" w:cs="Times New Roman"/>
          <w:sz w:val="20"/>
          <w:szCs w:val="20"/>
        </w:rPr>
        <w:t>New York</w:t>
      </w:r>
      <w:r w:rsidR="003707F3">
        <w:rPr>
          <w:rFonts w:ascii="Times New Roman" w:eastAsiaTheme="majorEastAsia" w:hAnsi="Times New Roman" w:cs="Times New Roman"/>
          <w:sz w:val="20"/>
          <w:szCs w:val="20"/>
        </w:rPr>
        <w:t xml:space="preserve"> </w:t>
      </w:r>
      <w:bookmarkStart w:id="4" w:name="_GoBack"/>
      <w:bookmarkEnd w:id="4"/>
      <w:r w:rsidR="00DE5610" w:rsidRPr="00DE5610">
        <w:rPr>
          <w:rFonts w:ascii="Times New Roman" w:eastAsiaTheme="majorEastAsia" w:hAnsi="Times New Roman" w:cs="Times New Roman"/>
          <w:sz w:val="20"/>
          <w:szCs w:val="20"/>
        </w:rPr>
        <w:t>14214-8013</w:t>
      </w:r>
      <w:r w:rsidR="00756E75">
        <w:rPr>
          <w:rFonts w:ascii="Times New Roman" w:eastAsiaTheme="majorEastAsia" w:hAnsi="Times New Roman" w:cs="Times New Roman"/>
          <w:sz w:val="20"/>
          <w:szCs w:val="20"/>
        </w:rPr>
        <w:t>, USA</w:t>
      </w:r>
    </w:p>
    <w:p w14:paraId="5020A2B8" w14:textId="77777777" w:rsidR="00756E75" w:rsidRPr="003C2E42" w:rsidRDefault="00756E75" w:rsidP="008D02CA">
      <w:pPr>
        <w:spacing w:line="240" w:lineRule="auto"/>
        <w:contextualSpacing/>
        <w:mirrorIndents/>
        <w:jc w:val="both"/>
        <w:rPr>
          <w:rFonts w:ascii="Times New Roman" w:eastAsiaTheme="majorEastAsia" w:hAnsi="Times New Roman" w:cs="Times New Roman"/>
          <w:sz w:val="20"/>
          <w:szCs w:val="20"/>
        </w:rPr>
      </w:pPr>
    </w:p>
    <w:p w14:paraId="76829CE8" w14:textId="742CF540" w:rsidR="001E6BE0" w:rsidRDefault="00403124" w:rsidP="008D02CA">
      <w:pPr>
        <w:spacing w:line="240" w:lineRule="auto"/>
        <w:contextualSpacing/>
        <w:mirrorIndents/>
        <w:jc w:val="both"/>
        <w:rPr>
          <w:rFonts w:ascii="Times New Roman" w:hAnsi="Times New Roman" w:cs="Times New Roman"/>
          <w:sz w:val="20"/>
          <w:szCs w:val="20"/>
        </w:rPr>
      </w:pPr>
      <w:r w:rsidRPr="003C2E42">
        <w:rPr>
          <w:rFonts w:ascii="Times New Roman" w:hAnsi="Times New Roman" w:cs="Times New Roman"/>
          <w:b/>
          <w:bCs/>
          <w:sz w:val="20"/>
          <w:szCs w:val="20"/>
        </w:rPr>
        <w:t>How to cite this article:</w:t>
      </w:r>
      <w:r w:rsidRPr="003C2E42">
        <w:rPr>
          <w:rFonts w:ascii="Times New Roman" w:hAnsi="Times New Roman" w:cs="Times New Roman"/>
          <w:sz w:val="20"/>
          <w:szCs w:val="20"/>
        </w:rPr>
        <w:t xml:space="preserve"> </w:t>
      </w:r>
      <w:r w:rsidR="00E61687" w:rsidRPr="00E61687">
        <w:rPr>
          <w:rFonts w:ascii="Times New Roman" w:hAnsi="Times New Roman" w:cs="Times New Roman"/>
          <w:sz w:val="20"/>
          <w:szCs w:val="20"/>
        </w:rPr>
        <w:t xml:space="preserve">Robinson </w:t>
      </w:r>
      <w:r w:rsidR="00E61687">
        <w:rPr>
          <w:rFonts w:ascii="Times New Roman" w:hAnsi="Times New Roman" w:cs="Times New Roman"/>
          <w:sz w:val="20"/>
          <w:szCs w:val="20"/>
        </w:rPr>
        <w:t xml:space="preserve">M </w:t>
      </w:r>
      <w:r w:rsidRPr="003C2E42">
        <w:rPr>
          <w:rFonts w:ascii="Times New Roman" w:hAnsi="Times New Roman" w:cs="Times New Roman"/>
          <w:sz w:val="20"/>
          <w:szCs w:val="20"/>
        </w:rPr>
        <w:t xml:space="preserve">(2024) </w:t>
      </w:r>
      <w:r w:rsidR="00210BBB" w:rsidRPr="00210BBB">
        <w:rPr>
          <w:rFonts w:ascii="Times New Roman" w:hAnsi="Times New Roman" w:cs="Times New Roman"/>
          <w:sz w:val="20"/>
          <w:szCs w:val="20"/>
        </w:rPr>
        <w:t>Evaluating the Impact of Pre-Visiting Planning on the Effectiveness of Primary Care Appointments for Patients with Type Two Diabetes</w:t>
      </w:r>
      <w:r w:rsidRPr="003C2E42">
        <w:rPr>
          <w:rFonts w:ascii="Times New Roman" w:hAnsi="Times New Roman" w:cs="Times New Roman"/>
          <w:sz w:val="20"/>
          <w:szCs w:val="20"/>
        </w:rPr>
        <w:t xml:space="preserve">. </w:t>
      </w:r>
      <w:proofErr w:type="spellStart"/>
      <w:r w:rsidRPr="003C2E42">
        <w:rPr>
          <w:rFonts w:ascii="Times New Roman" w:hAnsi="Times New Roman" w:cs="Times New Roman"/>
          <w:i/>
          <w:iCs/>
          <w:sz w:val="20"/>
          <w:szCs w:val="20"/>
        </w:rPr>
        <w:t>Int</w:t>
      </w:r>
      <w:proofErr w:type="spellEnd"/>
      <w:r w:rsidRPr="003C2E42">
        <w:rPr>
          <w:rFonts w:ascii="Times New Roman" w:hAnsi="Times New Roman" w:cs="Times New Roman"/>
          <w:i/>
          <w:iCs/>
          <w:sz w:val="20"/>
          <w:szCs w:val="20"/>
        </w:rPr>
        <w:t xml:space="preserve"> J </w:t>
      </w:r>
      <w:proofErr w:type="spellStart"/>
      <w:r w:rsidRPr="003C2E42">
        <w:rPr>
          <w:rFonts w:ascii="Times New Roman" w:hAnsi="Times New Roman" w:cs="Times New Roman"/>
          <w:i/>
          <w:iCs/>
          <w:sz w:val="20"/>
          <w:szCs w:val="20"/>
        </w:rPr>
        <w:t>Nurs</w:t>
      </w:r>
      <w:proofErr w:type="spellEnd"/>
      <w:r w:rsidRPr="003C2E42">
        <w:rPr>
          <w:rFonts w:ascii="Times New Roman" w:hAnsi="Times New Roman" w:cs="Times New Roman"/>
          <w:i/>
          <w:iCs/>
          <w:sz w:val="20"/>
          <w:szCs w:val="20"/>
        </w:rPr>
        <w:t xml:space="preserve"> &amp; </w:t>
      </w:r>
      <w:proofErr w:type="spellStart"/>
      <w:r w:rsidRPr="003C2E42">
        <w:rPr>
          <w:rFonts w:ascii="Times New Roman" w:hAnsi="Times New Roman" w:cs="Times New Roman"/>
          <w:i/>
          <w:iCs/>
          <w:sz w:val="20"/>
          <w:szCs w:val="20"/>
        </w:rPr>
        <w:t>Healt</w:t>
      </w:r>
      <w:proofErr w:type="spellEnd"/>
      <w:r w:rsidRPr="003C2E42">
        <w:rPr>
          <w:rFonts w:ascii="Times New Roman" w:hAnsi="Times New Roman" w:cs="Times New Roman"/>
          <w:i/>
          <w:iCs/>
          <w:sz w:val="20"/>
          <w:szCs w:val="20"/>
        </w:rPr>
        <w:t xml:space="preserve"> Car Scie</w:t>
      </w:r>
      <w:r>
        <w:rPr>
          <w:rFonts w:ascii="Times New Roman" w:hAnsi="Times New Roman" w:cs="Times New Roman"/>
          <w:sz w:val="20"/>
          <w:szCs w:val="20"/>
        </w:rPr>
        <w:t xml:space="preserve"> 04(02</w:t>
      </w:r>
      <w:r w:rsidRPr="003C2E42">
        <w:rPr>
          <w:rFonts w:ascii="Times New Roman" w:hAnsi="Times New Roman" w:cs="Times New Roman"/>
          <w:sz w:val="20"/>
          <w:szCs w:val="20"/>
        </w:rPr>
        <w:t>): 2024-30</w:t>
      </w:r>
      <w:r w:rsidR="000A6C0F">
        <w:rPr>
          <w:rFonts w:ascii="Times New Roman" w:hAnsi="Times New Roman" w:cs="Times New Roman"/>
          <w:sz w:val="20"/>
          <w:szCs w:val="20"/>
        </w:rPr>
        <w:t>6</w:t>
      </w:r>
      <w:r w:rsidRPr="003C2E42">
        <w:rPr>
          <w:rFonts w:ascii="Times New Roman" w:hAnsi="Times New Roman" w:cs="Times New Roman"/>
          <w:sz w:val="20"/>
          <w:szCs w:val="20"/>
        </w:rPr>
        <w:t>.</w:t>
      </w:r>
    </w:p>
    <w:p w14:paraId="7BC981EF" w14:textId="77777777" w:rsidR="007B26A1" w:rsidRPr="003C2E42" w:rsidRDefault="007B26A1" w:rsidP="008D02CA">
      <w:pPr>
        <w:spacing w:line="240" w:lineRule="auto"/>
        <w:contextualSpacing/>
        <w:mirrorIndents/>
        <w:jc w:val="both"/>
        <w:rPr>
          <w:rFonts w:ascii="Times New Roman" w:hAnsi="Times New Roman" w:cs="Times New Roman"/>
          <w:sz w:val="20"/>
          <w:szCs w:val="20"/>
        </w:rPr>
      </w:pPr>
    </w:p>
    <w:p w14:paraId="52A3589C" w14:textId="6A53E163" w:rsidR="00F70418" w:rsidRDefault="00403124" w:rsidP="008D02CA">
      <w:pPr>
        <w:spacing w:line="240" w:lineRule="auto"/>
        <w:contextualSpacing/>
        <w:mirrorIndents/>
        <w:jc w:val="both"/>
        <w:rPr>
          <w:rFonts w:ascii="Times New Roman" w:hAnsi="Times New Roman" w:cs="Times New Roman"/>
          <w:sz w:val="20"/>
          <w:szCs w:val="20"/>
        </w:rPr>
      </w:pPr>
      <w:r w:rsidRPr="003C2E42">
        <w:rPr>
          <w:rFonts w:ascii="Times New Roman" w:hAnsi="Times New Roman" w:cs="Times New Roman"/>
          <w:b/>
          <w:bCs/>
          <w:sz w:val="20"/>
          <w:szCs w:val="20"/>
        </w:rPr>
        <w:t>Submission Date:</w:t>
      </w:r>
      <w:r w:rsidRPr="003C2E42">
        <w:rPr>
          <w:rFonts w:ascii="Times New Roman" w:hAnsi="Times New Roman" w:cs="Times New Roman"/>
          <w:sz w:val="20"/>
          <w:szCs w:val="20"/>
        </w:rPr>
        <w:t xml:space="preserve"> </w:t>
      </w:r>
      <w:r w:rsidR="00277D16">
        <w:rPr>
          <w:rFonts w:ascii="Times New Roman" w:hAnsi="Times New Roman" w:cs="Times New Roman"/>
          <w:sz w:val="20"/>
          <w:szCs w:val="20"/>
        </w:rPr>
        <w:t>11</w:t>
      </w:r>
      <w:r w:rsidRPr="003C2E42">
        <w:rPr>
          <w:rFonts w:ascii="Times New Roman" w:hAnsi="Times New Roman" w:cs="Times New Roman"/>
          <w:sz w:val="20"/>
          <w:szCs w:val="20"/>
        </w:rPr>
        <w:t xml:space="preserve"> </w:t>
      </w:r>
      <w:proofErr w:type="gramStart"/>
      <w:r w:rsidRPr="003C2E42">
        <w:rPr>
          <w:rFonts w:ascii="Times New Roman" w:hAnsi="Times New Roman" w:cs="Times New Roman"/>
          <w:sz w:val="20"/>
          <w:szCs w:val="20"/>
        </w:rPr>
        <w:t>January,</w:t>
      </w:r>
      <w:proofErr w:type="gramEnd"/>
      <w:r w:rsidRPr="003C2E42">
        <w:rPr>
          <w:rFonts w:ascii="Times New Roman" w:hAnsi="Times New Roman" w:cs="Times New Roman"/>
          <w:sz w:val="20"/>
          <w:szCs w:val="20"/>
        </w:rPr>
        <w:t xml:space="preserve"> 2024; </w:t>
      </w:r>
      <w:r w:rsidRPr="003C2E42">
        <w:rPr>
          <w:rFonts w:ascii="Times New Roman" w:hAnsi="Times New Roman" w:cs="Times New Roman"/>
          <w:b/>
          <w:bCs/>
          <w:sz w:val="20"/>
          <w:szCs w:val="20"/>
        </w:rPr>
        <w:t>Accepted Date:</w:t>
      </w:r>
      <w:r w:rsidRPr="003C2E42">
        <w:rPr>
          <w:rFonts w:ascii="Times New Roman" w:hAnsi="Times New Roman" w:cs="Times New Roman"/>
          <w:sz w:val="20"/>
          <w:szCs w:val="20"/>
        </w:rPr>
        <w:t xml:space="preserve"> </w:t>
      </w:r>
      <w:r>
        <w:rPr>
          <w:rFonts w:ascii="Times New Roman" w:hAnsi="Times New Roman" w:cs="Times New Roman"/>
          <w:sz w:val="20"/>
          <w:szCs w:val="20"/>
        </w:rPr>
        <w:t>0</w:t>
      </w:r>
      <w:r w:rsidR="00730EDF">
        <w:rPr>
          <w:rFonts w:ascii="Times New Roman" w:hAnsi="Times New Roman" w:cs="Times New Roman"/>
          <w:sz w:val="20"/>
          <w:szCs w:val="20"/>
        </w:rPr>
        <w:t>6</w:t>
      </w:r>
      <w:r>
        <w:rPr>
          <w:rFonts w:ascii="Times New Roman" w:hAnsi="Times New Roman" w:cs="Times New Roman"/>
          <w:sz w:val="20"/>
          <w:szCs w:val="20"/>
        </w:rPr>
        <w:t xml:space="preserve"> February</w:t>
      </w:r>
      <w:r w:rsidRPr="003C2E42">
        <w:rPr>
          <w:rFonts w:ascii="Times New Roman" w:hAnsi="Times New Roman" w:cs="Times New Roman"/>
          <w:sz w:val="20"/>
          <w:szCs w:val="20"/>
        </w:rPr>
        <w:t xml:space="preserve">, 2024; </w:t>
      </w:r>
      <w:r w:rsidRPr="003C2E42">
        <w:rPr>
          <w:rFonts w:ascii="Times New Roman" w:hAnsi="Times New Roman" w:cs="Times New Roman"/>
          <w:b/>
          <w:bCs/>
          <w:sz w:val="20"/>
          <w:szCs w:val="20"/>
        </w:rPr>
        <w:t>Published Online:</w:t>
      </w:r>
      <w:r w:rsidRPr="003C2E42">
        <w:rPr>
          <w:rFonts w:ascii="Times New Roman" w:hAnsi="Times New Roman" w:cs="Times New Roman"/>
          <w:sz w:val="20"/>
          <w:szCs w:val="20"/>
        </w:rPr>
        <w:t xml:space="preserve"> </w:t>
      </w:r>
      <w:r w:rsidR="005C1D28">
        <w:rPr>
          <w:rFonts w:ascii="Times New Roman" w:hAnsi="Times New Roman" w:cs="Times New Roman"/>
          <w:sz w:val="20"/>
          <w:szCs w:val="20"/>
        </w:rPr>
        <w:t>09</w:t>
      </w:r>
      <w:r>
        <w:rPr>
          <w:rFonts w:ascii="Times New Roman" w:hAnsi="Times New Roman" w:cs="Times New Roman"/>
          <w:sz w:val="20"/>
          <w:szCs w:val="20"/>
        </w:rPr>
        <w:t xml:space="preserve"> February</w:t>
      </w:r>
      <w:r w:rsidRPr="003C2E42">
        <w:rPr>
          <w:rFonts w:ascii="Times New Roman" w:hAnsi="Times New Roman" w:cs="Times New Roman"/>
          <w:sz w:val="20"/>
          <w:szCs w:val="20"/>
        </w:rPr>
        <w:t>, 202</w:t>
      </w:r>
      <w:bookmarkStart w:id="5" w:name="Title_Page_for_Submission"/>
      <w:bookmarkEnd w:id="0"/>
      <w:bookmarkEnd w:id="1"/>
      <w:bookmarkEnd w:id="2"/>
      <w:bookmarkEnd w:id="3"/>
      <w:bookmarkEnd w:id="5"/>
      <w:r w:rsidRPr="003C2E42">
        <w:rPr>
          <w:rFonts w:ascii="Times New Roman" w:hAnsi="Times New Roman" w:cs="Times New Roman"/>
          <w:sz w:val="20"/>
          <w:szCs w:val="20"/>
        </w:rPr>
        <w:t>4</w:t>
      </w:r>
    </w:p>
    <w:p w14:paraId="682BCA82" w14:textId="42A0C5EC" w:rsidR="00E87F82" w:rsidRPr="00B855E2" w:rsidRDefault="00E87F82" w:rsidP="008D02CA">
      <w:pPr>
        <w:spacing w:line="240" w:lineRule="auto"/>
        <w:contextualSpacing/>
        <w:mirrorIndents/>
        <w:jc w:val="both"/>
        <w:rPr>
          <w:rFonts w:ascii="Times New Roman" w:hAnsi="Times New Roman" w:cs="Times New Roman"/>
          <w:sz w:val="20"/>
          <w:szCs w:val="20"/>
        </w:rPr>
      </w:pPr>
    </w:p>
    <w:p w14:paraId="7304D09D"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0C4932">
        <w:rPr>
          <w:rFonts w:ascii="Times New Roman" w:hAnsi="Times New Roman" w:cs="Times New Roman"/>
          <w:b/>
          <w:bCs/>
          <w:szCs w:val="20"/>
        </w:rPr>
        <w:t>Abstract</w:t>
      </w:r>
    </w:p>
    <w:p w14:paraId="1AC40CC0"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6E29E303"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b/>
          <w:bCs/>
          <w:sz w:val="20"/>
          <w:szCs w:val="20"/>
        </w:rPr>
        <w:t>Background and Significance:</w:t>
      </w:r>
      <w:r w:rsidRPr="00B855E2">
        <w:rPr>
          <w:rFonts w:ascii="Times New Roman" w:hAnsi="Times New Roman" w:cs="Times New Roman"/>
          <w:sz w:val="20"/>
          <w:szCs w:val="20"/>
        </w:rPr>
        <w:t xml:space="preserve"> Type two diabetes (T2DM) is a complex chronic medical condition affecting approximately 21 million Americans and the cost in the United States for managing T2DM is over $300 billion annually. </w:t>
      </w:r>
    </w:p>
    <w:p w14:paraId="57F6CBF2"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b/>
          <w:bCs/>
          <w:sz w:val="20"/>
          <w:szCs w:val="20"/>
        </w:rPr>
        <w:t>Purpose, Aims, and Objectives:</w:t>
      </w:r>
      <w:r w:rsidRPr="00B855E2">
        <w:rPr>
          <w:rFonts w:ascii="Times New Roman" w:hAnsi="Times New Roman" w:cs="Times New Roman"/>
          <w:sz w:val="20"/>
          <w:szCs w:val="20"/>
        </w:rPr>
        <w:t xml:space="preserve"> The purpose of this DNP project was to evaluate the impact of pre-visiting planning on the effectiveness of appointments for T2DM. The Aims/Objectives were to implement and evaluate a pre-visit planning intervention for patients with T2DM and then to provide practice recommendations for the use of pre-visit planning.</w:t>
      </w:r>
    </w:p>
    <w:p w14:paraId="31FAE572"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b/>
          <w:bCs/>
          <w:sz w:val="20"/>
          <w:szCs w:val="20"/>
        </w:rPr>
        <w:t>Theoretical Framework:</w:t>
      </w:r>
      <w:r w:rsidRPr="00B855E2">
        <w:rPr>
          <w:rFonts w:ascii="Times New Roman" w:hAnsi="Times New Roman" w:cs="Times New Roman"/>
          <w:sz w:val="20"/>
          <w:szCs w:val="20"/>
        </w:rPr>
        <w:t xml:space="preserve"> </w:t>
      </w:r>
      <w:proofErr w:type="gramStart"/>
      <w:r w:rsidRPr="00B855E2">
        <w:rPr>
          <w:rFonts w:ascii="Times New Roman" w:hAnsi="Times New Roman" w:cs="Times New Roman"/>
          <w:sz w:val="20"/>
          <w:szCs w:val="20"/>
        </w:rPr>
        <w:t>This study was guided by the Patient-Centered Care model of care</w:t>
      </w:r>
      <w:proofErr w:type="gramEnd"/>
      <w:r w:rsidRPr="00B855E2">
        <w:rPr>
          <w:rFonts w:ascii="Times New Roman" w:hAnsi="Times New Roman" w:cs="Times New Roman"/>
          <w:sz w:val="20"/>
          <w:szCs w:val="20"/>
        </w:rPr>
        <w:t xml:space="preserve">. This theory focuses on the whole </w:t>
      </w:r>
      <w:proofErr w:type="gramStart"/>
      <w:r w:rsidRPr="00B855E2">
        <w:rPr>
          <w:rFonts w:ascii="Times New Roman" w:hAnsi="Times New Roman" w:cs="Times New Roman"/>
          <w:sz w:val="20"/>
          <w:szCs w:val="20"/>
        </w:rPr>
        <w:t>patient which</w:t>
      </w:r>
      <w:proofErr w:type="gramEnd"/>
      <w:r w:rsidRPr="00B855E2">
        <w:rPr>
          <w:rFonts w:ascii="Times New Roman" w:hAnsi="Times New Roman" w:cs="Times New Roman"/>
          <w:sz w:val="20"/>
          <w:szCs w:val="20"/>
        </w:rPr>
        <w:t xml:space="preserve"> is necessary for addressing the complexity of T2DM management.</w:t>
      </w:r>
    </w:p>
    <w:p w14:paraId="01411ACA"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b/>
          <w:bCs/>
          <w:sz w:val="20"/>
          <w:szCs w:val="20"/>
        </w:rPr>
        <w:t>Methods and Design:</w:t>
      </w:r>
      <w:r w:rsidRPr="00B855E2">
        <w:rPr>
          <w:rFonts w:ascii="Times New Roman" w:hAnsi="Times New Roman" w:cs="Times New Roman"/>
          <w:sz w:val="20"/>
          <w:szCs w:val="20"/>
        </w:rPr>
        <w:t xml:space="preserve"> A quantitative quasi-experimental design </w:t>
      </w:r>
      <w:proofErr w:type="gramStart"/>
      <w:r w:rsidRPr="00B855E2">
        <w:rPr>
          <w:rFonts w:ascii="Times New Roman" w:hAnsi="Times New Roman" w:cs="Times New Roman"/>
          <w:sz w:val="20"/>
          <w:szCs w:val="20"/>
        </w:rPr>
        <w:t>was used</w:t>
      </w:r>
      <w:proofErr w:type="gramEnd"/>
      <w:r w:rsidRPr="00B855E2">
        <w:rPr>
          <w:rFonts w:ascii="Times New Roman" w:hAnsi="Times New Roman" w:cs="Times New Roman"/>
          <w:sz w:val="20"/>
          <w:szCs w:val="20"/>
        </w:rPr>
        <w:t xml:space="preserve"> to evaluate patients’ opinions on the effectiveness of utilizing the American Academy of Family Physicians (AAFP) Diabetes Assessment Form for pre-visit planning for T2DM appointments.</w:t>
      </w:r>
    </w:p>
    <w:p w14:paraId="39AD58BA"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b/>
          <w:bCs/>
          <w:sz w:val="20"/>
          <w:szCs w:val="20"/>
        </w:rPr>
        <w:t>Results:</w:t>
      </w:r>
      <w:r w:rsidRPr="00B855E2">
        <w:rPr>
          <w:rFonts w:ascii="Times New Roman" w:hAnsi="Times New Roman" w:cs="Times New Roman"/>
          <w:sz w:val="20"/>
          <w:szCs w:val="20"/>
        </w:rPr>
        <w:t xml:space="preserve"> Twenty-one post-intervention surveys </w:t>
      </w:r>
      <w:proofErr w:type="gramStart"/>
      <w:r w:rsidRPr="00B855E2">
        <w:rPr>
          <w:rFonts w:ascii="Times New Roman" w:hAnsi="Times New Roman" w:cs="Times New Roman"/>
          <w:sz w:val="20"/>
          <w:szCs w:val="20"/>
        </w:rPr>
        <w:t>were received</w:t>
      </w:r>
      <w:proofErr w:type="gramEnd"/>
      <w:r w:rsidRPr="00B855E2">
        <w:rPr>
          <w:rFonts w:ascii="Times New Roman" w:hAnsi="Times New Roman" w:cs="Times New Roman"/>
          <w:sz w:val="20"/>
          <w:szCs w:val="20"/>
        </w:rPr>
        <w:t xml:space="preserve">. The majority of respondents reported the intervention was helpful, easy to complete, and made the appointment more effective. Responses varied for whether they would want this intervention to </w:t>
      </w:r>
      <w:proofErr w:type="gramStart"/>
      <w:r w:rsidRPr="00B855E2">
        <w:rPr>
          <w:rFonts w:ascii="Times New Roman" w:hAnsi="Times New Roman" w:cs="Times New Roman"/>
          <w:sz w:val="20"/>
          <w:szCs w:val="20"/>
        </w:rPr>
        <w:t>be used</w:t>
      </w:r>
      <w:proofErr w:type="gramEnd"/>
      <w:r w:rsidRPr="00B855E2">
        <w:rPr>
          <w:rFonts w:ascii="Times New Roman" w:hAnsi="Times New Roman" w:cs="Times New Roman"/>
          <w:sz w:val="20"/>
          <w:szCs w:val="20"/>
        </w:rPr>
        <w:t xml:space="preserve"> in future appointments. </w:t>
      </w:r>
    </w:p>
    <w:p w14:paraId="4A31AAE4"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b/>
          <w:bCs/>
          <w:sz w:val="20"/>
          <w:szCs w:val="20"/>
        </w:rPr>
        <w:t>Conclusion:</w:t>
      </w:r>
      <w:r w:rsidRPr="00B855E2">
        <w:rPr>
          <w:rFonts w:ascii="Times New Roman" w:hAnsi="Times New Roman" w:cs="Times New Roman"/>
          <w:sz w:val="20"/>
          <w:szCs w:val="20"/>
        </w:rPr>
        <w:t xml:space="preserve"> Pre-visit planning can be an effective intervention to improve care and decrease costs. This study does not support the use of the AAFP Diabetes Assessment Form for pre-visit planning.</w:t>
      </w:r>
    </w:p>
    <w:p w14:paraId="6E75D187"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Future Implications and Recommendations: Further studies </w:t>
      </w:r>
      <w:proofErr w:type="gramStart"/>
      <w:r w:rsidRPr="00B855E2">
        <w:rPr>
          <w:rFonts w:ascii="Times New Roman" w:hAnsi="Times New Roman" w:cs="Times New Roman"/>
          <w:sz w:val="20"/>
          <w:szCs w:val="20"/>
        </w:rPr>
        <w:t>are needed</w:t>
      </w:r>
      <w:proofErr w:type="gramEnd"/>
      <w:r w:rsidRPr="00B855E2">
        <w:rPr>
          <w:rFonts w:ascii="Times New Roman" w:hAnsi="Times New Roman" w:cs="Times New Roman"/>
          <w:sz w:val="20"/>
          <w:szCs w:val="20"/>
        </w:rPr>
        <w:t xml:space="preserve"> to identify an effective tool for pre-visit planning for patients with T2DM to improve the health of this population.</w:t>
      </w:r>
    </w:p>
    <w:p w14:paraId="38F42D0B"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22DD0237" w14:textId="3167EB52" w:rsidR="00E87F82" w:rsidRDefault="00E87F82" w:rsidP="00B855E2">
      <w:pPr>
        <w:spacing w:line="240" w:lineRule="auto"/>
        <w:contextualSpacing/>
        <w:mirrorIndents/>
        <w:jc w:val="both"/>
        <w:rPr>
          <w:rFonts w:ascii="Times New Roman" w:hAnsi="Times New Roman" w:cs="Times New Roman"/>
          <w:sz w:val="20"/>
          <w:szCs w:val="20"/>
        </w:rPr>
      </w:pPr>
      <w:r w:rsidRPr="009A0B17">
        <w:rPr>
          <w:rFonts w:ascii="Times New Roman" w:hAnsi="Times New Roman" w:cs="Times New Roman"/>
          <w:b/>
          <w:bCs/>
          <w:szCs w:val="20"/>
        </w:rPr>
        <w:t>Keywords:</w:t>
      </w:r>
      <w:r w:rsidR="002A629B" w:rsidRPr="00B855E2">
        <w:rPr>
          <w:rFonts w:ascii="Times New Roman" w:hAnsi="Times New Roman" w:cs="Times New Roman"/>
          <w:b/>
          <w:bCs/>
          <w:sz w:val="20"/>
          <w:szCs w:val="20"/>
        </w:rPr>
        <w:t xml:space="preserve"> </w:t>
      </w:r>
      <w:r w:rsidR="002A629B" w:rsidRPr="00B855E2">
        <w:rPr>
          <w:rFonts w:ascii="Times New Roman" w:hAnsi="Times New Roman" w:cs="Times New Roman"/>
          <w:sz w:val="20"/>
          <w:szCs w:val="20"/>
        </w:rPr>
        <w:t xml:space="preserve">Effective appointments; </w:t>
      </w:r>
      <w:r w:rsidR="001348D8" w:rsidRPr="00B855E2">
        <w:rPr>
          <w:rFonts w:ascii="Times New Roman" w:hAnsi="Times New Roman" w:cs="Times New Roman"/>
          <w:sz w:val="20"/>
          <w:szCs w:val="20"/>
        </w:rPr>
        <w:t xml:space="preserve">Patient-centered care; </w:t>
      </w:r>
      <w:r w:rsidR="002A629B" w:rsidRPr="00B855E2">
        <w:rPr>
          <w:rFonts w:ascii="Times New Roman" w:hAnsi="Times New Roman" w:cs="Times New Roman"/>
          <w:sz w:val="20"/>
          <w:szCs w:val="20"/>
        </w:rPr>
        <w:t>Pre-visit planning; T</w:t>
      </w:r>
      <w:r w:rsidRPr="00B855E2">
        <w:rPr>
          <w:rFonts w:ascii="Times New Roman" w:hAnsi="Times New Roman" w:cs="Times New Roman"/>
          <w:sz w:val="20"/>
          <w:szCs w:val="20"/>
        </w:rPr>
        <w:t>ype two diabetes</w:t>
      </w:r>
    </w:p>
    <w:p w14:paraId="7ABB63C1" w14:textId="6E4D7C4B" w:rsidR="00F444F7" w:rsidRDefault="00F444F7" w:rsidP="00B855E2">
      <w:pPr>
        <w:spacing w:line="240" w:lineRule="auto"/>
        <w:contextualSpacing/>
        <w:mirrorIndents/>
        <w:jc w:val="both"/>
        <w:rPr>
          <w:rFonts w:ascii="Times New Roman" w:hAnsi="Times New Roman" w:cs="Times New Roman"/>
          <w:sz w:val="20"/>
          <w:szCs w:val="20"/>
        </w:rPr>
      </w:pPr>
    </w:p>
    <w:p w14:paraId="2DA649F9" w14:textId="3A5A3523" w:rsidR="00831FF0" w:rsidRPr="000A6DC5" w:rsidRDefault="00831FF0" w:rsidP="00B855E2">
      <w:pPr>
        <w:spacing w:line="240" w:lineRule="auto"/>
        <w:contextualSpacing/>
        <w:mirrorIndents/>
        <w:jc w:val="both"/>
        <w:rPr>
          <w:rFonts w:ascii="Times New Roman" w:hAnsi="Times New Roman" w:cs="Times New Roman"/>
          <w:b/>
          <w:sz w:val="20"/>
          <w:szCs w:val="20"/>
        </w:rPr>
      </w:pPr>
      <w:r w:rsidRPr="0069367C">
        <w:rPr>
          <w:rFonts w:ascii="Times New Roman" w:hAnsi="Times New Roman" w:cs="Times New Roman"/>
          <w:b/>
          <w:szCs w:val="20"/>
        </w:rPr>
        <w:t>Introduction</w:t>
      </w:r>
    </w:p>
    <w:p w14:paraId="31B5404E" w14:textId="77777777" w:rsidR="00831FF0" w:rsidRPr="00B855E2" w:rsidRDefault="00831FF0" w:rsidP="00B855E2">
      <w:pPr>
        <w:spacing w:line="240" w:lineRule="auto"/>
        <w:contextualSpacing/>
        <w:mirrorIndents/>
        <w:jc w:val="both"/>
        <w:rPr>
          <w:rFonts w:ascii="Times New Roman" w:hAnsi="Times New Roman" w:cs="Times New Roman"/>
          <w:sz w:val="20"/>
          <w:szCs w:val="20"/>
        </w:rPr>
      </w:pPr>
    </w:p>
    <w:p w14:paraId="13AAB3B4" w14:textId="1C513464"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Type two diabetes (T2DM) is a complex medical condition that can significantly </w:t>
      </w:r>
      <w:proofErr w:type="gramStart"/>
      <w:r w:rsidRPr="00B855E2">
        <w:rPr>
          <w:rFonts w:ascii="Times New Roman" w:hAnsi="Times New Roman" w:cs="Times New Roman"/>
          <w:sz w:val="20"/>
          <w:szCs w:val="20"/>
        </w:rPr>
        <w:t>impact</w:t>
      </w:r>
      <w:proofErr w:type="gramEnd"/>
      <w:r w:rsidRPr="00B855E2">
        <w:rPr>
          <w:rFonts w:ascii="Times New Roman" w:hAnsi="Times New Roman" w:cs="Times New Roman"/>
          <w:sz w:val="20"/>
          <w:szCs w:val="20"/>
        </w:rPr>
        <w:t xml:space="preserve"> an individual’s morbidity and mortality (World Health Organization</w:t>
      </w:r>
      <w:r w:rsidR="00083DC7" w:rsidRPr="00B855E2">
        <w:rPr>
          <w:rFonts w:ascii="Times New Roman" w:hAnsi="Times New Roman" w:cs="Times New Roman"/>
          <w:sz w:val="20"/>
          <w:szCs w:val="20"/>
        </w:rPr>
        <w:t>)</w:t>
      </w:r>
      <w:r w:rsidR="00083DC7" w:rsidRPr="00B855E2">
        <w:rPr>
          <w:rFonts w:ascii="Times New Roman" w:hAnsi="Times New Roman" w:cs="Times New Roman"/>
          <w:color w:val="FF0000"/>
          <w:sz w:val="20"/>
          <w:szCs w:val="20"/>
        </w:rPr>
        <w:t xml:space="preserve"> [1]</w:t>
      </w:r>
      <w:r w:rsidRPr="00B855E2">
        <w:rPr>
          <w:rFonts w:ascii="Times New Roman" w:hAnsi="Times New Roman" w:cs="Times New Roman"/>
          <w:sz w:val="20"/>
          <w:szCs w:val="20"/>
        </w:rPr>
        <w:t xml:space="preserve">. T2DM management is also complex, and </w:t>
      </w:r>
      <w:proofErr w:type="gramStart"/>
      <w:r w:rsidRPr="00B855E2">
        <w:rPr>
          <w:rFonts w:ascii="Times New Roman" w:hAnsi="Times New Roman" w:cs="Times New Roman"/>
          <w:sz w:val="20"/>
          <w:szCs w:val="20"/>
        </w:rPr>
        <w:t xml:space="preserve">there are often multiple specialists involved in the care of each of these patients that can include their primary care provider, an endocrinologist, a nutritionist, a podiatrist, an ophthalmologist, a neurologist, and a cardiologist </w:t>
      </w:r>
      <w:r w:rsidR="00555393" w:rsidRPr="00B855E2">
        <w:rPr>
          <w:rFonts w:ascii="Times New Roman" w:hAnsi="Times New Roman" w:cs="Times New Roman"/>
          <w:color w:val="FF0000"/>
          <w:sz w:val="20"/>
          <w:szCs w:val="20"/>
        </w:rPr>
        <w:t>[2]</w:t>
      </w:r>
      <w:proofErr w:type="gramEnd"/>
      <w:r w:rsidRPr="00B855E2">
        <w:rPr>
          <w:rFonts w:ascii="Times New Roman" w:hAnsi="Times New Roman" w:cs="Times New Roman"/>
          <w:sz w:val="20"/>
          <w:szCs w:val="20"/>
        </w:rPr>
        <w:t>. Patient-centered care (PCC) can be effective for managing these types of complex patients as it is a model of care that focuses on the specific needs of each patient and can provide more coordinated, comprehensive, and personalized care for patients (American Academy of Family Physicians</w:t>
      </w:r>
      <w:r w:rsidR="002176FC" w:rsidRPr="00B855E2">
        <w:rPr>
          <w:rFonts w:ascii="Times New Roman" w:hAnsi="Times New Roman" w:cs="Times New Roman"/>
          <w:sz w:val="20"/>
          <w:szCs w:val="20"/>
        </w:rPr>
        <w:t>)</w:t>
      </w:r>
      <w:r w:rsidR="002176FC" w:rsidRPr="00B855E2">
        <w:rPr>
          <w:rFonts w:ascii="Times New Roman" w:hAnsi="Times New Roman" w:cs="Times New Roman"/>
          <w:color w:val="FF0000"/>
          <w:sz w:val="20"/>
          <w:szCs w:val="20"/>
        </w:rPr>
        <w:t xml:space="preserve"> [3]</w:t>
      </w:r>
      <w:r w:rsidRPr="00B855E2">
        <w:rPr>
          <w:rFonts w:ascii="Times New Roman" w:hAnsi="Times New Roman" w:cs="Times New Roman"/>
          <w:sz w:val="20"/>
          <w:szCs w:val="20"/>
        </w:rPr>
        <w:t>.</w:t>
      </w:r>
      <w:r w:rsidR="003614A5">
        <w:rPr>
          <w:rFonts w:ascii="Times New Roman" w:hAnsi="Times New Roman" w:cs="Times New Roman"/>
          <w:sz w:val="20"/>
          <w:szCs w:val="20"/>
        </w:rPr>
        <w:t xml:space="preserve"> </w:t>
      </w:r>
      <w:r w:rsidRPr="00B855E2">
        <w:rPr>
          <w:rFonts w:ascii="Times New Roman" w:hAnsi="Times New Roman" w:cs="Times New Roman"/>
          <w:sz w:val="20"/>
          <w:szCs w:val="20"/>
        </w:rPr>
        <w:t xml:space="preserve">Patient engagement is a key component of PCC and could be supported </w:t>
      </w:r>
      <w:proofErr w:type="gramStart"/>
      <w:r w:rsidRPr="00B855E2">
        <w:rPr>
          <w:rFonts w:ascii="Times New Roman" w:hAnsi="Times New Roman" w:cs="Times New Roman"/>
          <w:sz w:val="20"/>
          <w:szCs w:val="20"/>
        </w:rPr>
        <w:t>through the use of</w:t>
      </w:r>
      <w:proofErr w:type="gramEnd"/>
      <w:r w:rsidRPr="00B855E2">
        <w:rPr>
          <w:rFonts w:ascii="Times New Roman" w:hAnsi="Times New Roman" w:cs="Times New Roman"/>
          <w:sz w:val="20"/>
          <w:szCs w:val="20"/>
        </w:rPr>
        <w:t xml:space="preserve"> pre-visit planning </w:t>
      </w:r>
      <w:r w:rsidR="002176FC" w:rsidRPr="00B855E2">
        <w:rPr>
          <w:rFonts w:ascii="Times New Roman" w:hAnsi="Times New Roman" w:cs="Times New Roman"/>
          <w:color w:val="FF0000"/>
          <w:sz w:val="20"/>
          <w:szCs w:val="20"/>
        </w:rPr>
        <w:t>[3]</w:t>
      </w:r>
      <w:r w:rsidRPr="00B855E2">
        <w:rPr>
          <w:rFonts w:ascii="Times New Roman" w:hAnsi="Times New Roman" w:cs="Times New Roman"/>
          <w:sz w:val="20"/>
          <w:szCs w:val="20"/>
        </w:rPr>
        <w:t xml:space="preserve">. Pre-visit planning involves either the patient, the provider, or both parties being involved in preparing for an appointment ahead of time </w:t>
      </w:r>
      <w:r w:rsidR="002176FC" w:rsidRPr="00B855E2">
        <w:rPr>
          <w:rFonts w:ascii="Times New Roman" w:hAnsi="Times New Roman" w:cs="Times New Roman"/>
          <w:color w:val="FF0000"/>
          <w:sz w:val="20"/>
          <w:szCs w:val="20"/>
        </w:rPr>
        <w:t>[3]</w:t>
      </w:r>
      <w:r w:rsidRPr="00B855E2">
        <w:rPr>
          <w:rFonts w:ascii="Times New Roman" w:hAnsi="Times New Roman" w:cs="Times New Roman"/>
          <w:sz w:val="20"/>
          <w:szCs w:val="20"/>
        </w:rPr>
        <w:t xml:space="preserve">. To improve the healthcare of these patients with T2DM in the primary care setting, pre-visit planning </w:t>
      </w:r>
      <w:proofErr w:type="gramStart"/>
      <w:r w:rsidRPr="00B855E2">
        <w:rPr>
          <w:rFonts w:ascii="Times New Roman" w:hAnsi="Times New Roman" w:cs="Times New Roman"/>
          <w:sz w:val="20"/>
          <w:szCs w:val="20"/>
        </w:rPr>
        <w:t>could be added</w:t>
      </w:r>
      <w:proofErr w:type="gramEnd"/>
      <w:r w:rsidRPr="00B855E2">
        <w:rPr>
          <w:rFonts w:ascii="Times New Roman" w:hAnsi="Times New Roman" w:cs="Times New Roman"/>
          <w:sz w:val="20"/>
          <w:szCs w:val="20"/>
        </w:rPr>
        <w:t xml:space="preserve"> to their routine visits with primary care providers to increase the effectiveness of each appointment.</w:t>
      </w:r>
    </w:p>
    <w:p w14:paraId="5EF70CB5"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E161BB">
        <w:rPr>
          <w:rFonts w:ascii="Times New Roman" w:hAnsi="Times New Roman" w:cs="Times New Roman"/>
          <w:b/>
          <w:bCs/>
          <w:szCs w:val="20"/>
        </w:rPr>
        <w:lastRenderedPageBreak/>
        <w:t>Background</w:t>
      </w:r>
    </w:p>
    <w:p w14:paraId="46AF7331"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53E2E6CE" w14:textId="389DD909"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Type two diabetes is a chronic medical condition where the regulation and utilization of glucose are impaired which leads to significant damage to the body including the cardiac, nervous, and immune systems (WHO, 2021). The prevalence of T2DM in the adult American population in 2016 was 8.6% which equates to approximately 21 million people </w:t>
      </w:r>
      <w:r w:rsidR="00555393" w:rsidRPr="00B855E2">
        <w:rPr>
          <w:rFonts w:ascii="Times New Roman" w:hAnsi="Times New Roman" w:cs="Times New Roman"/>
          <w:color w:val="FF0000"/>
          <w:sz w:val="20"/>
          <w:szCs w:val="20"/>
        </w:rPr>
        <w:t>[2]</w:t>
      </w:r>
      <w:r w:rsidRPr="00B855E2">
        <w:rPr>
          <w:rFonts w:ascii="Times New Roman" w:hAnsi="Times New Roman" w:cs="Times New Roman"/>
          <w:sz w:val="20"/>
          <w:szCs w:val="20"/>
        </w:rPr>
        <w:t xml:space="preserve"> and worldwide there has been an increase in premature mortality related to DMII of 5% between 2000 and 2016 (WHO, 2021). In the United States in </w:t>
      </w:r>
      <w:proofErr w:type="gramStart"/>
      <w:r w:rsidRPr="00B855E2">
        <w:rPr>
          <w:rFonts w:ascii="Times New Roman" w:hAnsi="Times New Roman" w:cs="Times New Roman"/>
          <w:sz w:val="20"/>
          <w:szCs w:val="20"/>
        </w:rPr>
        <w:t>2017</w:t>
      </w:r>
      <w:proofErr w:type="gramEnd"/>
      <w:r w:rsidRPr="00B855E2">
        <w:rPr>
          <w:rFonts w:ascii="Times New Roman" w:hAnsi="Times New Roman" w:cs="Times New Roman"/>
          <w:sz w:val="20"/>
          <w:szCs w:val="20"/>
        </w:rPr>
        <w:t xml:space="preserve"> the medical costs of T2DM along with the loss in productivity were estimated at $327 billion which is a 26% increase since 2012 when the cost was $245 billion (American Diabetes Association</w:t>
      </w:r>
      <w:r w:rsidR="006B290B" w:rsidRPr="00B855E2">
        <w:rPr>
          <w:rFonts w:ascii="Times New Roman" w:hAnsi="Times New Roman" w:cs="Times New Roman"/>
          <w:sz w:val="20"/>
          <w:szCs w:val="20"/>
        </w:rPr>
        <w:t xml:space="preserve">) </w:t>
      </w:r>
      <w:r w:rsidR="006B290B" w:rsidRPr="00B855E2">
        <w:rPr>
          <w:rFonts w:ascii="Times New Roman" w:hAnsi="Times New Roman" w:cs="Times New Roman"/>
          <w:color w:val="FF0000"/>
          <w:sz w:val="20"/>
          <w:szCs w:val="20"/>
        </w:rPr>
        <w:t>[4]</w:t>
      </w:r>
      <w:r w:rsidRPr="00B855E2">
        <w:rPr>
          <w:rFonts w:ascii="Times New Roman" w:hAnsi="Times New Roman" w:cs="Times New Roman"/>
          <w:sz w:val="20"/>
          <w:szCs w:val="20"/>
        </w:rPr>
        <w:t xml:space="preserve">. Interventions </w:t>
      </w:r>
      <w:proofErr w:type="gramStart"/>
      <w:r w:rsidRPr="00B855E2">
        <w:rPr>
          <w:rFonts w:ascii="Times New Roman" w:hAnsi="Times New Roman" w:cs="Times New Roman"/>
          <w:sz w:val="20"/>
          <w:szCs w:val="20"/>
        </w:rPr>
        <w:t>are needed</w:t>
      </w:r>
      <w:proofErr w:type="gramEnd"/>
      <w:r w:rsidRPr="00B855E2">
        <w:rPr>
          <w:rFonts w:ascii="Times New Roman" w:hAnsi="Times New Roman" w:cs="Times New Roman"/>
          <w:sz w:val="20"/>
          <w:szCs w:val="20"/>
        </w:rPr>
        <w:t xml:space="preserve"> to improve the management of T2DM to manage the morbidity and mortality risks for individual patients and minimize the significant financial impacts on the healthcare system.</w:t>
      </w:r>
    </w:p>
    <w:p w14:paraId="42BD5C08"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758067A9" w14:textId="624B4271"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Pre-visit planning is a patient engagement intervention that could have positive effects both personally for patients, as well as the healthcare system through improved effectiveness of appointments and decreased overall use of the healthcare system through improved health in these individuals </w:t>
      </w:r>
      <w:r w:rsidR="009C4033" w:rsidRPr="00B855E2">
        <w:rPr>
          <w:rFonts w:ascii="Times New Roman" w:hAnsi="Times New Roman" w:cs="Times New Roman"/>
          <w:color w:val="FF0000"/>
          <w:sz w:val="20"/>
          <w:szCs w:val="20"/>
        </w:rPr>
        <w:t>[5]</w:t>
      </w:r>
      <w:r w:rsidRPr="00B855E2">
        <w:rPr>
          <w:rFonts w:ascii="Times New Roman" w:hAnsi="Times New Roman" w:cs="Times New Roman"/>
          <w:sz w:val="20"/>
          <w:szCs w:val="20"/>
        </w:rPr>
        <w:t xml:space="preserve">. Pre-visit planning is a broad term that </w:t>
      </w:r>
      <w:proofErr w:type="gramStart"/>
      <w:r w:rsidRPr="00B855E2">
        <w:rPr>
          <w:rFonts w:ascii="Times New Roman" w:hAnsi="Times New Roman" w:cs="Times New Roman"/>
          <w:sz w:val="20"/>
          <w:szCs w:val="20"/>
        </w:rPr>
        <w:t>can be implemented</w:t>
      </w:r>
      <w:proofErr w:type="gramEnd"/>
      <w:r w:rsidRPr="00B855E2">
        <w:rPr>
          <w:rFonts w:ascii="Times New Roman" w:hAnsi="Times New Roman" w:cs="Times New Roman"/>
          <w:sz w:val="20"/>
          <w:szCs w:val="20"/>
        </w:rPr>
        <w:t xml:space="preserve"> in various ways, but the basic concept is that the patient and/or provider engage with their healthcare information before appointments occur. Pre-visit planning can include actions such as reviewing labs/imaging, reviewing any emergency room visits or consultations, visit reminders, visit instructions on what to expect/bring, or any other appointment requirements </w:t>
      </w:r>
      <w:r w:rsidR="002176FC" w:rsidRPr="00B855E2">
        <w:rPr>
          <w:rFonts w:ascii="Times New Roman" w:hAnsi="Times New Roman" w:cs="Times New Roman"/>
          <w:color w:val="FF0000"/>
          <w:sz w:val="20"/>
          <w:szCs w:val="20"/>
        </w:rPr>
        <w:t>[3]</w:t>
      </w:r>
      <w:r w:rsidRPr="00B855E2">
        <w:rPr>
          <w:rFonts w:ascii="Times New Roman" w:hAnsi="Times New Roman" w:cs="Times New Roman"/>
          <w:sz w:val="20"/>
          <w:szCs w:val="20"/>
        </w:rPr>
        <w:t xml:space="preserve">. Engaging patients through pre-visit planning has been shown to improve the patients’ experience, decrease the rates of missed appointments, and increase the effectiveness of appointments from both patient and provider perspectives </w:t>
      </w:r>
      <w:r w:rsidR="00001719" w:rsidRPr="00B855E2">
        <w:rPr>
          <w:rFonts w:ascii="Times New Roman" w:hAnsi="Times New Roman" w:cs="Times New Roman"/>
          <w:color w:val="FF0000"/>
          <w:sz w:val="20"/>
          <w:szCs w:val="20"/>
        </w:rPr>
        <w:t>[6]</w:t>
      </w:r>
      <w:r w:rsidRPr="00B855E2">
        <w:rPr>
          <w:rFonts w:ascii="Times New Roman" w:hAnsi="Times New Roman" w:cs="Times New Roman"/>
          <w:sz w:val="20"/>
          <w:szCs w:val="20"/>
        </w:rPr>
        <w:t xml:space="preserve">. </w:t>
      </w:r>
    </w:p>
    <w:p w14:paraId="5A15A68B"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0BA30EEC"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943CBE">
        <w:rPr>
          <w:rFonts w:ascii="Times New Roman" w:hAnsi="Times New Roman" w:cs="Times New Roman"/>
          <w:b/>
          <w:bCs/>
          <w:szCs w:val="20"/>
        </w:rPr>
        <w:t>Project Purpose, Aim, and Objectives</w:t>
      </w:r>
    </w:p>
    <w:p w14:paraId="098020D8"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1378BF49"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The purpose of this Doctor of Nursing Practice (DNP) project was to quantitatively evaluate the impact of implementing pre-visiting planning before routine visits for patients with T2DM receiving care at the EAFP on the effectiveness of those appointments from the perspective of the patients. This DNP project aimed to increase the level of engagement for patients with T2DM with their healthcare and to increase the effectiveness of their medical appointments. </w:t>
      </w:r>
      <w:proofErr w:type="gramStart"/>
      <w:r w:rsidRPr="00B855E2">
        <w:rPr>
          <w:rFonts w:ascii="Times New Roman" w:hAnsi="Times New Roman" w:cs="Times New Roman"/>
          <w:sz w:val="20"/>
          <w:szCs w:val="20"/>
        </w:rPr>
        <w:t>Project objectives were: 1) conduct a literature search to evaluate the current knowledge related to pre-visit planning for patients with T2DM and identify an appropriate pre-visit planning tool; 2) create a survey for post-intervention feedback from the patients; 3) identify patients with appointments during the study timeframe and generate a list of those patients to be included; 4) provide those identified patients with study packets when they check-in for their appointments; 5) compile and review the data from the post-intervention surveys; 6) provide recommendations for further use of this pre-visit planning tool in the primary care setting based on the literature review and the results of this study.</w:t>
      </w:r>
      <w:proofErr w:type="gramEnd"/>
    </w:p>
    <w:p w14:paraId="1A4F0B92"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657B8E6B"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B855E2">
        <w:rPr>
          <w:rFonts w:ascii="Times New Roman" w:hAnsi="Times New Roman" w:cs="Times New Roman"/>
          <w:b/>
          <w:bCs/>
          <w:sz w:val="20"/>
          <w:szCs w:val="20"/>
        </w:rPr>
        <w:t>Project Contributions to Advanced Practice Nursing Scholarship and Practice</w:t>
      </w:r>
    </w:p>
    <w:p w14:paraId="5013896B"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188BB2F4"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This DNP Project contributes to advanced practice nursing scholarship and practice by evaluating the impact of pre-visit planning on the effectiveness of primary care appointments. Following the analysis of the post-intervention surveys completed by the patients, recommendations are made that could affect how pre-visit planning is implemented in the primary care setting with the goal of increasing the effectiveness of appointments for patients with T2DM.</w:t>
      </w:r>
    </w:p>
    <w:p w14:paraId="425CEF64"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0258A460"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F27B0D">
        <w:rPr>
          <w:rFonts w:ascii="Times New Roman" w:hAnsi="Times New Roman" w:cs="Times New Roman"/>
          <w:b/>
          <w:bCs/>
          <w:szCs w:val="20"/>
        </w:rPr>
        <w:t>Theoretical Framework</w:t>
      </w:r>
    </w:p>
    <w:p w14:paraId="1DA6B092"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456F2B77" w14:textId="38E14690" w:rsidR="00E87F8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The patient-centered care (PCC) model </w:t>
      </w:r>
      <w:proofErr w:type="gramStart"/>
      <w:r w:rsidRPr="00B855E2">
        <w:rPr>
          <w:rFonts w:ascii="Times New Roman" w:hAnsi="Times New Roman" w:cs="Times New Roman"/>
          <w:sz w:val="20"/>
          <w:szCs w:val="20"/>
        </w:rPr>
        <w:t>was used</w:t>
      </w:r>
      <w:proofErr w:type="gramEnd"/>
      <w:r w:rsidRPr="00B855E2">
        <w:rPr>
          <w:rFonts w:ascii="Times New Roman" w:hAnsi="Times New Roman" w:cs="Times New Roman"/>
          <w:sz w:val="20"/>
          <w:szCs w:val="20"/>
        </w:rPr>
        <w:t xml:space="preserve"> as the theoretical framework for the development of this DNP project. Carl Rogers in the 1940s </w:t>
      </w:r>
      <w:proofErr w:type="gramStart"/>
      <w:r w:rsidRPr="00B855E2">
        <w:rPr>
          <w:rFonts w:ascii="Times New Roman" w:hAnsi="Times New Roman" w:cs="Times New Roman"/>
          <w:sz w:val="20"/>
          <w:szCs w:val="20"/>
        </w:rPr>
        <w:t>is credited</w:t>
      </w:r>
      <w:proofErr w:type="gramEnd"/>
      <w:r w:rsidRPr="00B855E2">
        <w:rPr>
          <w:rFonts w:ascii="Times New Roman" w:hAnsi="Times New Roman" w:cs="Times New Roman"/>
          <w:sz w:val="20"/>
          <w:szCs w:val="20"/>
        </w:rPr>
        <w:t xml:space="preserve"> with beginning to transition the focus of healthcare from practitioner-centered care to PCC through his work as a clinical psychologist </w:t>
      </w:r>
      <w:r w:rsidR="00500983" w:rsidRPr="00B855E2">
        <w:rPr>
          <w:rFonts w:ascii="Times New Roman" w:hAnsi="Times New Roman" w:cs="Times New Roman"/>
          <w:color w:val="FF0000"/>
          <w:sz w:val="20"/>
          <w:szCs w:val="20"/>
        </w:rPr>
        <w:t>[7]</w:t>
      </w:r>
      <w:r w:rsidRPr="00B855E2">
        <w:rPr>
          <w:rFonts w:ascii="Times New Roman" w:hAnsi="Times New Roman" w:cs="Times New Roman"/>
          <w:sz w:val="20"/>
          <w:szCs w:val="20"/>
        </w:rPr>
        <w:t xml:space="preserve">. The core components of Roger’s work were accepting the </w:t>
      </w:r>
      <w:proofErr w:type="gramStart"/>
      <w:r w:rsidRPr="00B855E2">
        <w:rPr>
          <w:rFonts w:ascii="Times New Roman" w:hAnsi="Times New Roman" w:cs="Times New Roman"/>
          <w:sz w:val="20"/>
          <w:szCs w:val="20"/>
        </w:rPr>
        <w:t>client</w:t>
      </w:r>
      <w:proofErr w:type="gramEnd"/>
      <w:r w:rsidRPr="00B855E2">
        <w:rPr>
          <w:rFonts w:ascii="Times New Roman" w:hAnsi="Times New Roman" w:cs="Times New Roman"/>
          <w:sz w:val="20"/>
          <w:szCs w:val="20"/>
        </w:rPr>
        <w:t xml:space="preserve"> as they are, empathy, and the development of an authentic relationship </w:t>
      </w:r>
      <w:r w:rsidR="00500983" w:rsidRPr="00B855E2">
        <w:rPr>
          <w:rFonts w:ascii="Times New Roman" w:hAnsi="Times New Roman" w:cs="Times New Roman"/>
          <w:color w:val="FF0000"/>
          <w:sz w:val="20"/>
          <w:szCs w:val="20"/>
        </w:rPr>
        <w:t>[7]</w:t>
      </w:r>
      <w:r w:rsidRPr="00B855E2">
        <w:rPr>
          <w:rFonts w:ascii="Times New Roman" w:hAnsi="Times New Roman" w:cs="Times New Roman"/>
          <w:sz w:val="20"/>
          <w:szCs w:val="20"/>
        </w:rPr>
        <w:t xml:space="preserve">. It was Edith Balint, </w:t>
      </w:r>
      <w:r w:rsidR="000041C0" w:rsidRPr="00B855E2">
        <w:rPr>
          <w:rFonts w:ascii="Times New Roman" w:hAnsi="Times New Roman" w:cs="Times New Roman"/>
          <w:color w:val="FF0000"/>
          <w:sz w:val="20"/>
          <w:szCs w:val="20"/>
        </w:rPr>
        <w:t>[8]</w:t>
      </w:r>
      <w:r w:rsidRPr="00B855E2">
        <w:rPr>
          <w:rFonts w:ascii="Times New Roman" w:hAnsi="Times New Roman" w:cs="Times New Roman"/>
          <w:sz w:val="20"/>
          <w:szCs w:val="20"/>
        </w:rPr>
        <w:t xml:space="preserve">, who first coined the term ‘patient-centered care’ and it was her work that led to the model of </w:t>
      </w:r>
      <w:proofErr w:type="gramStart"/>
      <w:r w:rsidRPr="00B855E2">
        <w:rPr>
          <w:rFonts w:ascii="Times New Roman" w:hAnsi="Times New Roman" w:cs="Times New Roman"/>
          <w:sz w:val="20"/>
          <w:szCs w:val="20"/>
        </w:rPr>
        <w:t>care which</w:t>
      </w:r>
      <w:proofErr w:type="gramEnd"/>
      <w:r w:rsidRPr="00B855E2">
        <w:rPr>
          <w:rFonts w:ascii="Times New Roman" w:hAnsi="Times New Roman" w:cs="Times New Roman"/>
          <w:sz w:val="20"/>
          <w:szCs w:val="20"/>
        </w:rPr>
        <w:t xml:space="preserve"> is still in use today. Balint</w:t>
      </w:r>
      <w:r w:rsidRPr="00B855E2">
        <w:rPr>
          <w:rFonts w:ascii="Times New Roman" w:hAnsi="Times New Roman" w:cs="Times New Roman"/>
          <w:color w:val="FF0000"/>
          <w:sz w:val="20"/>
          <w:szCs w:val="20"/>
        </w:rPr>
        <w:t xml:space="preserve"> </w:t>
      </w:r>
      <w:r w:rsidR="000041C0" w:rsidRPr="00B855E2">
        <w:rPr>
          <w:rFonts w:ascii="Times New Roman" w:hAnsi="Times New Roman" w:cs="Times New Roman"/>
          <w:color w:val="FF0000"/>
          <w:sz w:val="20"/>
          <w:szCs w:val="20"/>
        </w:rPr>
        <w:t>[8]</w:t>
      </w:r>
      <w:r w:rsidRPr="00B855E2">
        <w:rPr>
          <w:rFonts w:ascii="Times New Roman" w:hAnsi="Times New Roman" w:cs="Times New Roman"/>
          <w:sz w:val="20"/>
          <w:szCs w:val="20"/>
        </w:rPr>
        <w:t xml:space="preserve"> emphasized the need for “understanding the patient as a unique human being” and focusing on them as a whole person instead of practicing illness-oriented medicine. In 2001 the Institute of Medicine </w:t>
      </w:r>
      <w:r w:rsidR="00633B74" w:rsidRPr="00B855E2">
        <w:rPr>
          <w:rFonts w:ascii="Times New Roman" w:hAnsi="Times New Roman" w:cs="Times New Roman"/>
          <w:color w:val="FF0000"/>
          <w:sz w:val="20"/>
          <w:szCs w:val="20"/>
        </w:rPr>
        <w:t>[9]</w:t>
      </w:r>
      <w:r w:rsidRPr="00B855E2">
        <w:rPr>
          <w:rFonts w:ascii="Times New Roman" w:hAnsi="Times New Roman" w:cs="Times New Roman"/>
          <w:sz w:val="20"/>
          <w:szCs w:val="20"/>
        </w:rPr>
        <w:t xml:space="preserve"> published its seminal report, Crossing the Quality Chasm, a groundbreaking piece that brought to light issues within the current healthcare system and suggestions on how to improve those areas (Institute of Medicine (US)</w:t>
      </w:r>
      <w:r w:rsidR="00633B74" w:rsidRPr="00B855E2">
        <w:rPr>
          <w:rFonts w:ascii="Times New Roman" w:hAnsi="Times New Roman" w:cs="Times New Roman"/>
          <w:sz w:val="20"/>
          <w:szCs w:val="20"/>
        </w:rPr>
        <w:t xml:space="preserve"> </w:t>
      </w:r>
      <w:r w:rsidR="00633B74" w:rsidRPr="00B855E2">
        <w:rPr>
          <w:rFonts w:ascii="Times New Roman" w:hAnsi="Times New Roman" w:cs="Times New Roman"/>
          <w:color w:val="FF0000"/>
          <w:sz w:val="20"/>
          <w:szCs w:val="20"/>
        </w:rPr>
        <w:t>[9]</w:t>
      </w:r>
      <w:r w:rsidRPr="00B855E2">
        <w:rPr>
          <w:rFonts w:ascii="Times New Roman" w:hAnsi="Times New Roman" w:cs="Times New Roman"/>
          <w:sz w:val="20"/>
          <w:szCs w:val="20"/>
        </w:rPr>
        <w:t xml:space="preserve"> Committee on Quality of Health Care in America </w:t>
      </w:r>
      <w:r w:rsidR="00633B74" w:rsidRPr="00B855E2">
        <w:rPr>
          <w:rFonts w:ascii="Times New Roman" w:hAnsi="Times New Roman" w:cs="Times New Roman"/>
          <w:color w:val="FF0000"/>
          <w:sz w:val="20"/>
          <w:szCs w:val="20"/>
        </w:rPr>
        <w:t>[9]</w:t>
      </w:r>
      <w:r w:rsidRPr="00B855E2">
        <w:rPr>
          <w:rFonts w:ascii="Times New Roman" w:hAnsi="Times New Roman" w:cs="Times New Roman"/>
          <w:sz w:val="20"/>
          <w:szCs w:val="20"/>
        </w:rPr>
        <w:t xml:space="preserve">. The IOM identified patient-centeredness </w:t>
      </w:r>
      <w:r w:rsidRPr="00B855E2">
        <w:rPr>
          <w:rFonts w:ascii="Times New Roman" w:hAnsi="Times New Roman" w:cs="Times New Roman"/>
          <w:sz w:val="20"/>
          <w:szCs w:val="20"/>
        </w:rPr>
        <w:lastRenderedPageBreak/>
        <w:t xml:space="preserve">as one of its six aims for improvement, emphasizing how integral patient-centered care is for quality healthcare </w:t>
      </w:r>
      <w:r w:rsidR="00633B74" w:rsidRPr="00B855E2">
        <w:rPr>
          <w:rFonts w:ascii="Times New Roman" w:hAnsi="Times New Roman" w:cs="Times New Roman"/>
          <w:color w:val="FF0000"/>
          <w:sz w:val="20"/>
          <w:szCs w:val="20"/>
        </w:rPr>
        <w:t>[9]</w:t>
      </w:r>
      <w:r w:rsidRPr="00B855E2">
        <w:rPr>
          <w:rFonts w:ascii="Times New Roman" w:hAnsi="Times New Roman" w:cs="Times New Roman"/>
          <w:sz w:val="20"/>
          <w:szCs w:val="20"/>
        </w:rPr>
        <w:t>.</w:t>
      </w:r>
    </w:p>
    <w:p w14:paraId="355CE6DE" w14:textId="77777777" w:rsidR="00B74D87" w:rsidRPr="00B855E2" w:rsidRDefault="00B74D87" w:rsidP="00B855E2">
      <w:pPr>
        <w:spacing w:line="240" w:lineRule="auto"/>
        <w:contextualSpacing/>
        <w:mirrorIndents/>
        <w:jc w:val="both"/>
        <w:rPr>
          <w:rFonts w:ascii="Times New Roman" w:hAnsi="Times New Roman" w:cs="Times New Roman"/>
          <w:sz w:val="20"/>
          <w:szCs w:val="20"/>
        </w:rPr>
      </w:pPr>
    </w:p>
    <w:p w14:paraId="54E3587C" w14:textId="2D2E669B"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Patient-centered care considers not only a patient’s health status or illness but also their experience with that condition (IOM, 2001). It is through communication and developing a positive working relationship between a patient and their provider that patient </w:t>
      </w:r>
      <w:proofErr w:type="gramStart"/>
      <w:r w:rsidRPr="00B855E2">
        <w:rPr>
          <w:rFonts w:ascii="Times New Roman" w:hAnsi="Times New Roman" w:cs="Times New Roman"/>
          <w:sz w:val="20"/>
          <w:szCs w:val="20"/>
        </w:rPr>
        <w:t>needs can be truly understood</w:t>
      </w:r>
      <w:proofErr w:type="gramEnd"/>
      <w:r w:rsidRPr="00B855E2">
        <w:rPr>
          <w:rFonts w:ascii="Times New Roman" w:hAnsi="Times New Roman" w:cs="Times New Roman"/>
          <w:sz w:val="20"/>
          <w:szCs w:val="20"/>
        </w:rPr>
        <w:t xml:space="preserve"> which is the necessary groundwork for providing patient-centered care. The IOM includes 6 dimensions that have been identified for PCC; 1) respect for the patient’s values, preferences, and expressed needs, 2) coordination and integration of care, 3) information, communication, and education, 4) physical comfort, 5) emotional support- relieving fear and anxiety, and 6) involvement of family and friends </w:t>
      </w:r>
      <w:r w:rsidR="00633B74" w:rsidRPr="00B855E2">
        <w:rPr>
          <w:rFonts w:ascii="Times New Roman" w:hAnsi="Times New Roman" w:cs="Times New Roman"/>
          <w:color w:val="FF0000"/>
          <w:sz w:val="20"/>
          <w:szCs w:val="20"/>
        </w:rPr>
        <w:t>[9]</w:t>
      </w:r>
      <w:r w:rsidRPr="00B855E2">
        <w:rPr>
          <w:rFonts w:ascii="Times New Roman" w:hAnsi="Times New Roman" w:cs="Times New Roman"/>
          <w:sz w:val="20"/>
          <w:szCs w:val="20"/>
        </w:rPr>
        <w:t xml:space="preserve">. </w:t>
      </w:r>
    </w:p>
    <w:p w14:paraId="30C6683C"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0EE15E24" w14:textId="7AEFD6BD" w:rsidR="00E87F8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Respect for the patient’s values and expressed needs is the initial dimension of PCC and it guides the practitioners to provide care in a way that considers the various aspects of a patient’s want, needs, and preferences including but not limited to; their physical and emotional needs, cultural preferences, risk tolerance, preferred level of involvement in their care </w:t>
      </w:r>
      <w:r w:rsidR="00633B74" w:rsidRPr="00B855E2">
        <w:rPr>
          <w:rFonts w:ascii="Times New Roman" w:hAnsi="Times New Roman" w:cs="Times New Roman"/>
          <w:color w:val="FF0000"/>
          <w:sz w:val="20"/>
          <w:szCs w:val="20"/>
        </w:rPr>
        <w:t>[9]</w:t>
      </w:r>
      <w:r w:rsidRPr="00B855E2">
        <w:rPr>
          <w:rFonts w:ascii="Times New Roman" w:hAnsi="Times New Roman" w:cs="Times New Roman"/>
          <w:sz w:val="20"/>
          <w:szCs w:val="20"/>
        </w:rPr>
        <w:t xml:space="preserve">. All the above factors can change over time and need to </w:t>
      </w:r>
      <w:proofErr w:type="gramStart"/>
      <w:r w:rsidRPr="00B855E2">
        <w:rPr>
          <w:rFonts w:ascii="Times New Roman" w:hAnsi="Times New Roman" w:cs="Times New Roman"/>
          <w:sz w:val="20"/>
          <w:szCs w:val="20"/>
        </w:rPr>
        <w:t>be reassessed</w:t>
      </w:r>
      <w:proofErr w:type="gramEnd"/>
      <w:r w:rsidRPr="00B855E2">
        <w:rPr>
          <w:rFonts w:ascii="Times New Roman" w:hAnsi="Times New Roman" w:cs="Times New Roman"/>
          <w:sz w:val="20"/>
          <w:szCs w:val="20"/>
        </w:rPr>
        <w:t xml:space="preserve"> on an ongoing basis to ensure continued optimal care </w:t>
      </w:r>
      <w:r w:rsidR="00633B74" w:rsidRPr="00B855E2">
        <w:rPr>
          <w:rFonts w:ascii="Times New Roman" w:hAnsi="Times New Roman" w:cs="Times New Roman"/>
          <w:color w:val="FF0000"/>
          <w:sz w:val="20"/>
          <w:szCs w:val="20"/>
        </w:rPr>
        <w:t>[9]</w:t>
      </w:r>
      <w:r w:rsidRPr="00B855E2">
        <w:rPr>
          <w:rFonts w:ascii="Times New Roman" w:hAnsi="Times New Roman" w:cs="Times New Roman"/>
          <w:sz w:val="20"/>
          <w:szCs w:val="20"/>
        </w:rPr>
        <w:t>.</w:t>
      </w:r>
    </w:p>
    <w:p w14:paraId="5E0E07B8" w14:textId="77777777" w:rsidR="003750FB" w:rsidRPr="00B855E2" w:rsidRDefault="003750FB" w:rsidP="00B855E2">
      <w:pPr>
        <w:spacing w:line="240" w:lineRule="auto"/>
        <w:contextualSpacing/>
        <w:mirrorIndents/>
        <w:jc w:val="both"/>
        <w:rPr>
          <w:rFonts w:ascii="Times New Roman" w:hAnsi="Times New Roman" w:cs="Times New Roman"/>
          <w:sz w:val="20"/>
          <w:szCs w:val="20"/>
        </w:rPr>
      </w:pPr>
    </w:p>
    <w:p w14:paraId="52E2C7AA" w14:textId="0259B14C" w:rsidR="00E87F8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The second dimension of PCC is the coordination and integration of care. Providers are in a position where they have a responsibility to assist patients with coordinating necessary care promptly such as imaging, tests, and consultations, and ensuring that results are disseminated to other providers as required </w:t>
      </w:r>
      <w:r w:rsidR="00633B74" w:rsidRPr="00B855E2">
        <w:rPr>
          <w:rFonts w:ascii="Times New Roman" w:hAnsi="Times New Roman" w:cs="Times New Roman"/>
          <w:color w:val="FF0000"/>
          <w:sz w:val="20"/>
          <w:szCs w:val="20"/>
        </w:rPr>
        <w:t>[</w:t>
      </w:r>
      <w:proofErr w:type="gramStart"/>
      <w:r w:rsidR="00633B74" w:rsidRPr="00B855E2">
        <w:rPr>
          <w:rFonts w:ascii="Times New Roman" w:hAnsi="Times New Roman" w:cs="Times New Roman"/>
          <w:color w:val="FF0000"/>
          <w:sz w:val="20"/>
          <w:szCs w:val="20"/>
        </w:rPr>
        <w:t>9</w:t>
      </w:r>
      <w:proofErr w:type="gramEnd"/>
      <w:r w:rsidR="00633B74" w:rsidRPr="00B855E2">
        <w:rPr>
          <w:rFonts w:ascii="Times New Roman" w:hAnsi="Times New Roman" w:cs="Times New Roman"/>
          <w:color w:val="FF0000"/>
          <w:sz w:val="20"/>
          <w:szCs w:val="20"/>
        </w:rPr>
        <w:t>]</w:t>
      </w:r>
      <w:r w:rsidRPr="00B855E2">
        <w:rPr>
          <w:rFonts w:ascii="Times New Roman" w:hAnsi="Times New Roman" w:cs="Times New Roman"/>
          <w:sz w:val="20"/>
          <w:szCs w:val="20"/>
        </w:rPr>
        <w:t xml:space="preserve">. This coordination is especially important for those suffering from physical or emotional issues as that can </w:t>
      </w:r>
      <w:proofErr w:type="gramStart"/>
      <w:r w:rsidRPr="00B855E2">
        <w:rPr>
          <w:rFonts w:ascii="Times New Roman" w:hAnsi="Times New Roman" w:cs="Times New Roman"/>
          <w:sz w:val="20"/>
          <w:szCs w:val="20"/>
        </w:rPr>
        <w:t>impact</w:t>
      </w:r>
      <w:proofErr w:type="gramEnd"/>
      <w:r w:rsidRPr="00B855E2">
        <w:rPr>
          <w:rFonts w:ascii="Times New Roman" w:hAnsi="Times New Roman" w:cs="Times New Roman"/>
          <w:sz w:val="20"/>
          <w:szCs w:val="20"/>
        </w:rPr>
        <w:t xml:space="preserve"> their ability to perform these functions independently </w:t>
      </w:r>
      <w:r w:rsidR="00D94E07" w:rsidRPr="00B855E2">
        <w:rPr>
          <w:rFonts w:ascii="Times New Roman" w:hAnsi="Times New Roman" w:cs="Times New Roman"/>
          <w:color w:val="FF0000"/>
          <w:sz w:val="20"/>
          <w:szCs w:val="20"/>
        </w:rPr>
        <w:t>[9]</w:t>
      </w:r>
      <w:r w:rsidRPr="00B855E2">
        <w:rPr>
          <w:rFonts w:ascii="Times New Roman" w:hAnsi="Times New Roman" w:cs="Times New Roman"/>
          <w:sz w:val="20"/>
          <w:szCs w:val="20"/>
        </w:rPr>
        <w:t xml:space="preserve">. Primary care providers are </w:t>
      </w:r>
      <w:proofErr w:type="gramStart"/>
      <w:r w:rsidRPr="00B855E2">
        <w:rPr>
          <w:rFonts w:ascii="Times New Roman" w:hAnsi="Times New Roman" w:cs="Times New Roman"/>
          <w:sz w:val="20"/>
          <w:szCs w:val="20"/>
        </w:rPr>
        <w:t>well-situated</w:t>
      </w:r>
      <w:proofErr w:type="gramEnd"/>
      <w:r w:rsidRPr="00B855E2">
        <w:rPr>
          <w:rFonts w:ascii="Times New Roman" w:hAnsi="Times New Roman" w:cs="Times New Roman"/>
          <w:sz w:val="20"/>
          <w:szCs w:val="20"/>
        </w:rPr>
        <w:t xml:space="preserve"> to assist patients with this task.</w:t>
      </w:r>
    </w:p>
    <w:p w14:paraId="45F3564C" w14:textId="77777777" w:rsidR="005E6517" w:rsidRPr="00B855E2" w:rsidRDefault="005E6517" w:rsidP="00B855E2">
      <w:pPr>
        <w:spacing w:line="240" w:lineRule="auto"/>
        <w:contextualSpacing/>
        <w:mirrorIndents/>
        <w:jc w:val="both"/>
        <w:rPr>
          <w:rFonts w:ascii="Times New Roman" w:hAnsi="Times New Roman" w:cs="Times New Roman"/>
          <w:sz w:val="20"/>
          <w:szCs w:val="20"/>
        </w:rPr>
      </w:pPr>
    </w:p>
    <w:p w14:paraId="0D8FD0EC" w14:textId="12A6B2BE" w:rsidR="00D678E4"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Information, communication, and education are the third dimension of PCC. For a patient to make informed decisions for their health care they must first have a good understanding of their health condition and the available treatment options </w:t>
      </w:r>
      <w:r w:rsidR="00D94E07" w:rsidRPr="00B855E2">
        <w:rPr>
          <w:rFonts w:ascii="Times New Roman" w:hAnsi="Times New Roman" w:cs="Times New Roman"/>
          <w:color w:val="FF0000"/>
          <w:sz w:val="20"/>
          <w:szCs w:val="20"/>
        </w:rPr>
        <w:t>[9]</w:t>
      </w:r>
      <w:r w:rsidRPr="00B855E2">
        <w:rPr>
          <w:rFonts w:ascii="Times New Roman" w:hAnsi="Times New Roman" w:cs="Times New Roman"/>
          <w:sz w:val="20"/>
          <w:szCs w:val="20"/>
        </w:rPr>
        <w:t xml:space="preserve">. This information must be available to patients in a way that is accessible, in an appropriate language and format, and at a level that they understand </w:t>
      </w:r>
      <w:r w:rsidR="00D94E07" w:rsidRPr="00B855E2">
        <w:rPr>
          <w:rFonts w:ascii="Times New Roman" w:hAnsi="Times New Roman" w:cs="Times New Roman"/>
          <w:color w:val="FF0000"/>
          <w:sz w:val="20"/>
          <w:szCs w:val="20"/>
        </w:rPr>
        <w:t>[9]</w:t>
      </w:r>
      <w:r w:rsidR="00D678E4">
        <w:rPr>
          <w:rFonts w:ascii="Times New Roman" w:hAnsi="Times New Roman" w:cs="Times New Roman"/>
          <w:sz w:val="20"/>
          <w:szCs w:val="20"/>
        </w:rPr>
        <w:t>.</w:t>
      </w:r>
    </w:p>
    <w:p w14:paraId="2023D2C1" w14:textId="77777777" w:rsidR="00D678E4" w:rsidRPr="00B855E2" w:rsidRDefault="00D678E4" w:rsidP="00B855E2">
      <w:pPr>
        <w:spacing w:line="240" w:lineRule="auto"/>
        <w:contextualSpacing/>
        <w:mirrorIndents/>
        <w:jc w:val="both"/>
        <w:rPr>
          <w:rFonts w:ascii="Times New Roman" w:hAnsi="Times New Roman" w:cs="Times New Roman"/>
          <w:sz w:val="20"/>
          <w:szCs w:val="20"/>
        </w:rPr>
      </w:pPr>
    </w:p>
    <w:p w14:paraId="15D73D89" w14:textId="159A9130"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The fourth and fifth dimensions of PCC </w:t>
      </w:r>
      <w:proofErr w:type="gramStart"/>
      <w:r w:rsidRPr="00B855E2">
        <w:rPr>
          <w:rFonts w:ascii="Times New Roman" w:hAnsi="Times New Roman" w:cs="Times New Roman"/>
          <w:sz w:val="20"/>
          <w:szCs w:val="20"/>
        </w:rPr>
        <w:t>are related</w:t>
      </w:r>
      <w:proofErr w:type="gramEnd"/>
      <w:r w:rsidRPr="00B855E2">
        <w:rPr>
          <w:rFonts w:ascii="Times New Roman" w:hAnsi="Times New Roman" w:cs="Times New Roman"/>
          <w:sz w:val="20"/>
          <w:szCs w:val="20"/>
        </w:rPr>
        <w:t xml:space="preserve"> to comfort and support. The fourth dimension is physical comfort, and the fifth dimension of PCC is emotional support- relieving fear and anxiety. This includes the timely, tailored, and expert care of physical discomforts such as pain, shortness of breath, and others, as well as addressing their emotional and spiritual needs </w:t>
      </w:r>
      <w:r w:rsidR="00D94E07" w:rsidRPr="00B855E2">
        <w:rPr>
          <w:rFonts w:ascii="Times New Roman" w:hAnsi="Times New Roman" w:cs="Times New Roman"/>
          <w:color w:val="FF0000"/>
          <w:sz w:val="20"/>
          <w:szCs w:val="20"/>
        </w:rPr>
        <w:t>[9]</w:t>
      </w:r>
      <w:r w:rsidRPr="00B855E2">
        <w:rPr>
          <w:rFonts w:ascii="Times New Roman" w:hAnsi="Times New Roman" w:cs="Times New Roman"/>
          <w:sz w:val="20"/>
          <w:szCs w:val="20"/>
        </w:rPr>
        <w:t>.</w:t>
      </w:r>
    </w:p>
    <w:p w14:paraId="7D6079BF"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792B9170" w14:textId="25B48F50"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The sixth and final dimension of PCC is the involvement of family and friends. This involves including, at the direction of the patient, friends, and family members that they would like to have involved in the decision-making and management of their health care, supporting those individuals as caregivers, and acknowledging their needs and involvement </w:t>
      </w:r>
      <w:r w:rsidR="00D94E07" w:rsidRPr="00B855E2">
        <w:rPr>
          <w:rFonts w:ascii="Times New Roman" w:hAnsi="Times New Roman" w:cs="Times New Roman"/>
          <w:color w:val="FF0000"/>
          <w:sz w:val="20"/>
          <w:szCs w:val="20"/>
        </w:rPr>
        <w:t>[9]</w:t>
      </w:r>
      <w:r w:rsidRPr="00B855E2">
        <w:rPr>
          <w:rFonts w:ascii="Times New Roman" w:hAnsi="Times New Roman" w:cs="Times New Roman"/>
          <w:sz w:val="20"/>
          <w:szCs w:val="20"/>
        </w:rPr>
        <w:t>.</w:t>
      </w:r>
    </w:p>
    <w:p w14:paraId="17777C09"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5DDE32F8"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For this DNP project, the patient-centered care model </w:t>
      </w:r>
      <w:proofErr w:type="gramStart"/>
      <w:r w:rsidRPr="00B855E2">
        <w:rPr>
          <w:rFonts w:ascii="Times New Roman" w:hAnsi="Times New Roman" w:cs="Times New Roman"/>
          <w:sz w:val="20"/>
          <w:szCs w:val="20"/>
        </w:rPr>
        <w:t>was utilized</w:t>
      </w:r>
      <w:proofErr w:type="gramEnd"/>
      <w:r w:rsidRPr="00B855E2">
        <w:rPr>
          <w:rFonts w:ascii="Times New Roman" w:hAnsi="Times New Roman" w:cs="Times New Roman"/>
          <w:sz w:val="20"/>
          <w:szCs w:val="20"/>
        </w:rPr>
        <w:t xml:space="preserve"> to inform decisions on the choice of the pre-visit planning questionnaire, the implementation of the intervention, and the development of the post-intervention survey for the patients. The results from this project’s intervention along with the findings from the review of evidence-based literature </w:t>
      </w:r>
      <w:proofErr w:type="gramStart"/>
      <w:r w:rsidRPr="00B855E2">
        <w:rPr>
          <w:rFonts w:ascii="Times New Roman" w:hAnsi="Times New Roman" w:cs="Times New Roman"/>
          <w:sz w:val="20"/>
          <w:szCs w:val="20"/>
        </w:rPr>
        <w:t>were incorporated</w:t>
      </w:r>
      <w:proofErr w:type="gramEnd"/>
      <w:r w:rsidRPr="00B855E2">
        <w:rPr>
          <w:rFonts w:ascii="Times New Roman" w:hAnsi="Times New Roman" w:cs="Times New Roman"/>
          <w:sz w:val="20"/>
          <w:szCs w:val="20"/>
        </w:rPr>
        <w:t xml:space="preserve"> to support practice recommendations for further use of pre-visit planning for patients with T2DM in the primary care setting.</w:t>
      </w:r>
    </w:p>
    <w:p w14:paraId="30563BCC"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7740C391"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FD03BF">
        <w:rPr>
          <w:rFonts w:ascii="Times New Roman" w:hAnsi="Times New Roman" w:cs="Times New Roman"/>
          <w:b/>
          <w:bCs/>
          <w:szCs w:val="20"/>
        </w:rPr>
        <w:t>Review of the Literature</w:t>
      </w:r>
    </w:p>
    <w:p w14:paraId="0A9B964D"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0DE1CEEF"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roofErr w:type="gramStart"/>
      <w:r w:rsidRPr="00B855E2">
        <w:rPr>
          <w:rFonts w:ascii="Times New Roman" w:hAnsi="Times New Roman" w:cs="Times New Roman"/>
          <w:sz w:val="20"/>
          <w:szCs w:val="20"/>
        </w:rPr>
        <w:t>A literature review was conducted exploring the use and the effectiveness of pre-visit planning with patients with T2DM using the following keywords both singularly and in multiple combinations; type two diabetes, type 2 diabetes, type ii diabetes, t2dm, type 2 diabetes mellitus, NIDDM, chronic illness, chronic condition, chronic, pre-visit, pre-visit planning, pre-appointment planning, visit planning, appointment planning, diabetes assessment form, effective appointments, compliance, time-saving, and efficient.</w:t>
      </w:r>
      <w:proofErr w:type="gramEnd"/>
      <w:r w:rsidRPr="00B855E2">
        <w:rPr>
          <w:rFonts w:ascii="Times New Roman" w:hAnsi="Times New Roman" w:cs="Times New Roman"/>
          <w:sz w:val="20"/>
          <w:szCs w:val="20"/>
        </w:rPr>
        <w:t xml:space="preserve"> Databases searched included CINAHL Plus with Full Text, PubMed, and Web of Science. The database search was limited to the years 2018 to 2023 to ensure that only the most current evidence-based research on this topic was included. Duplicate articles were removed, </w:t>
      </w:r>
      <w:proofErr w:type="gramStart"/>
      <w:r w:rsidRPr="00B855E2">
        <w:rPr>
          <w:rFonts w:ascii="Times New Roman" w:hAnsi="Times New Roman" w:cs="Times New Roman"/>
          <w:sz w:val="20"/>
          <w:szCs w:val="20"/>
        </w:rPr>
        <w:t>then</w:t>
      </w:r>
      <w:proofErr w:type="gramEnd"/>
      <w:r w:rsidRPr="00B855E2">
        <w:rPr>
          <w:rFonts w:ascii="Times New Roman" w:hAnsi="Times New Roman" w:cs="Times New Roman"/>
          <w:sz w:val="20"/>
          <w:szCs w:val="20"/>
        </w:rPr>
        <w:t xml:space="preserve"> the remaining titles and abstracts were reviewed for relevance. Full-text articles were then reviewed for inclusion and </w:t>
      </w:r>
      <w:proofErr w:type="gramStart"/>
      <w:r w:rsidRPr="00B855E2">
        <w:rPr>
          <w:rFonts w:ascii="Times New Roman" w:hAnsi="Times New Roman" w:cs="Times New Roman"/>
          <w:sz w:val="20"/>
          <w:szCs w:val="20"/>
        </w:rPr>
        <w:t>a total of 10</w:t>
      </w:r>
      <w:proofErr w:type="gramEnd"/>
      <w:r w:rsidRPr="00B855E2">
        <w:rPr>
          <w:rFonts w:ascii="Times New Roman" w:hAnsi="Times New Roman" w:cs="Times New Roman"/>
          <w:sz w:val="20"/>
          <w:szCs w:val="20"/>
        </w:rPr>
        <w:t xml:space="preserve"> articles were included in the literature review. The literature review identified three main concepts: patient engagement, cost benefits, and time management. A synthesis of the literature </w:t>
      </w:r>
      <w:proofErr w:type="gramStart"/>
      <w:r w:rsidRPr="00B855E2">
        <w:rPr>
          <w:rFonts w:ascii="Times New Roman" w:hAnsi="Times New Roman" w:cs="Times New Roman"/>
          <w:sz w:val="20"/>
          <w:szCs w:val="20"/>
        </w:rPr>
        <w:t>is presented</w:t>
      </w:r>
      <w:proofErr w:type="gramEnd"/>
      <w:r w:rsidRPr="00B855E2">
        <w:rPr>
          <w:rFonts w:ascii="Times New Roman" w:hAnsi="Times New Roman" w:cs="Times New Roman"/>
          <w:sz w:val="20"/>
          <w:szCs w:val="20"/>
        </w:rPr>
        <w:t xml:space="preserve">. </w:t>
      </w:r>
    </w:p>
    <w:p w14:paraId="7CC52CBC"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B855E2">
        <w:rPr>
          <w:rFonts w:ascii="Times New Roman" w:hAnsi="Times New Roman" w:cs="Times New Roman"/>
          <w:b/>
          <w:bCs/>
          <w:sz w:val="20"/>
          <w:szCs w:val="20"/>
        </w:rPr>
        <w:lastRenderedPageBreak/>
        <w:t>Patient Engagement</w:t>
      </w:r>
    </w:p>
    <w:p w14:paraId="33523191"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73445885" w14:textId="6B28CD75"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The first theme identified through the literature review was patient engagement. The use of pre-visit planning </w:t>
      </w:r>
      <w:proofErr w:type="gramStart"/>
      <w:r w:rsidRPr="00B855E2">
        <w:rPr>
          <w:rFonts w:ascii="Times New Roman" w:hAnsi="Times New Roman" w:cs="Times New Roman"/>
          <w:sz w:val="20"/>
          <w:szCs w:val="20"/>
        </w:rPr>
        <w:t>was found</w:t>
      </w:r>
      <w:proofErr w:type="gramEnd"/>
      <w:r w:rsidRPr="00B855E2">
        <w:rPr>
          <w:rFonts w:ascii="Times New Roman" w:hAnsi="Times New Roman" w:cs="Times New Roman"/>
          <w:sz w:val="20"/>
          <w:szCs w:val="20"/>
        </w:rPr>
        <w:t xml:space="preserve"> to be an effective method for increasing patient engagement with their health care </w:t>
      </w:r>
      <w:r w:rsidR="00F4630B" w:rsidRPr="00B855E2">
        <w:rPr>
          <w:rFonts w:ascii="Times New Roman" w:hAnsi="Times New Roman" w:cs="Times New Roman"/>
          <w:color w:val="FF0000"/>
          <w:sz w:val="20"/>
          <w:szCs w:val="20"/>
        </w:rPr>
        <w:t>[10-13]</w:t>
      </w:r>
      <w:r w:rsidRPr="00B855E2">
        <w:rPr>
          <w:rFonts w:ascii="Times New Roman" w:hAnsi="Times New Roman" w:cs="Times New Roman"/>
          <w:sz w:val="20"/>
          <w:szCs w:val="20"/>
        </w:rPr>
        <w:t>. Vo et al.</w:t>
      </w:r>
      <w:r w:rsidRPr="00B855E2">
        <w:rPr>
          <w:rFonts w:ascii="Times New Roman" w:hAnsi="Times New Roman" w:cs="Times New Roman"/>
          <w:color w:val="FF0000"/>
          <w:sz w:val="20"/>
          <w:szCs w:val="20"/>
        </w:rPr>
        <w:t xml:space="preserve"> </w:t>
      </w:r>
      <w:r w:rsidR="00F4630B" w:rsidRPr="00B855E2">
        <w:rPr>
          <w:rFonts w:ascii="Times New Roman" w:hAnsi="Times New Roman" w:cs="Times New Roman"/>
          <w:color w:val="FF0000"/>
          <w:sz w:val="20"/>
          <w:szCs w:val="20"/>
        </w:rPr>
        <w:t>[13]</w:t>
      </w:r>
      <w:r w:rsidRPr="00B855E2">
        <w:rPr>
          <w:rFonts w:ascii="Times New Roman" w:hAnsi="Times New Roman" w:cs="Times New Roman"/>
          <w:sz w:val="20"/>
          <w:szCs w:val="20"/>
        </w:rPr>
        <w:t xml:space="preserve"> used an email-based method of communication to have patients identify their top 1-2 priorities for upcoming visits, and this one action </w:t>
      </w:r>
      <w:proofErr w:type="gramStart"/>
      <w:r w:rsidRPr="00B855E2">
        <w:rPr>
          <w:rFonts w:ascii="Times New Roman" w:hAnsi="Times New Roman" w:cs="Times New Roman"/>
          <w:sz w:val="20"/>
          <w:szCs w:val="20"/>
        </w:rPr>
        <w:t>was found</w:t>
      </w:r>
      <w:proofErr w:type="gramEnd"/>
      <w:r w:rsidRPr="00B855E2">
        <w:rPr>
          <w:rFonts w:ascii="Times New Roman" w:hAnsi="Times New Roman" w:cs="Times New Roman"/>
          <w:sz w:val="20"/>
          <w:szCs w:val="20"/>
        </w:rPr>
        <w:t xml:space="preserve"> to increase patients’ reported satisfaction with their care experience and improved patient-provider communication. This study by </w:t>
      </w:r>
      <w:proofErr w:type="gramStart"/>
      <w:r w:rsidRPr="00B855E2">
        <w:rPr>
          <w:rFonts w:ascii="Times New Roman" w:hAnsi="Times New Roman" w:cs="Times New Roman"/>
          <w:sz w:val="20"/>
          <w:szCs w:val="20"/>
        </w:rPr>
        <w:t>Vo et al</w:t>
      </w:r>
      <w:proofErr w:type="gramEnd"/>
      <w:r w:rsidRPr="00B855E2">
        <w:rPr>
          <w:rFonts w:ascii="Times New Roman" w:hAnsi="Times New Roman" w:cs="Times New Roman"/>
          <w:sz w:val="20"/>
          <w:szCs w:val="20"/>
        </w:rPr>
        <w:t>.</w:t>
      </w:r>
      <w:r w:rsidRPr="00B855E2">
        <w:rPr>
          <w:rFonts w:ascii="Times New Roman" w:hAnsi="Times New Roman" w:cs="Times New Roman"/>
          <w:color w:val="FF0000"/>
          <w:sz w:val="20"/>
          <w:szCs w:val="20"/>
        </w:rPr>
        <w:t xml:space="preserve"> </w:t>
      </w:r>
      <w:r w:rsidR="00F4630B" w:rsidRPr="00B855E2">
        <w:rPr>
          <w:rFonts w:ascii="Times New Roman" w:hAnsi="Times New Roman" w:cs="Times New Roman"/>
          <w:color w:val="FF0000"/>
          <w:sz w:val="20"/>
          <w:szCs w:val="20"/>
        </w:rPr>
        <w:t>[13]</w:t>
      </w:r>
      <w:r w:rsidRPr="00B855E2">
        <w:rPr>
          <w:rFonts w:ascii="Times New Roman" w:hAnsi="Times New Roman" w:cs="Times New Roman"/>
          <w:sz w:val="20"/>
          <w:szCs w:val="20"/>
        </w:rPr>
        <w:t xml:space="preserve"> however did not find that the DM clinical outcomes were improved. </w:t>
      </w:r>
      <w:proofErr w:type="gramStart"/>
      <w:r w:rsidRPr="00B855E2">
        <w:rPr>
          <w:rFonts w:ascii="Times New Roman" w:hAnsi="Times New Roman" w:cs="Times New Roman"/>
          <w:sz w:val="20"/>
          <w:szCs w:val="20"/>
        </w:rPr>
        <w:t>Health information technology was used effectively in the waiting room for patients in the study by Grant et al.</w:t>
      </w:r>
      <w:r w:rsidRPr="00B855E2">
        <w:rPr>
          <w:rFonts w:ascii="Times New Roman" w:hAnsi="Times New Roman" w:cs="Times New Roman"/>
          <w:color w:val="FF0000"/>
          <w:sz w:val="20"/>
          <w:szCs w:val="20"/>
        </w:rPr>
        <w:t xml:space="preserve"> </w:t>
      </w:r>
      <w:r w:rsidR="00BD4BFC" w:rsidRPr="00B855E2">
        <w:rPr>
          <w:rFonts w:ascii="Times New Roman" w:hAnsi="Times New Roman" w:cs="Times New Roman"/>
          <w:color w:val="FF0000"/>
          <w:sz w:val="20"/>
          <w:szCs w:val="20"/>
        </w:rPr>
        <w:t>[14]</w:t>
      </w:r>
      <w:r w:rsidRPr="00B855E2">
        <w:rPr>
          <w:rFonts w:ascii="Times New Roman" w:hAnsi="Times New Roman" w:cs="Times New Roman"/>
          <w:sz w:val="20"/>
          <w:szCs w:val="20"/>
        </w:rPr>
        <w:t xml:space="preserve"> to identify their appointment priorities</w:t>
      </w:r>
      <w:proofErr w:type="gramEnd"/>
      <w:r w:rsidRPr="00B855E2">
        <w:rPr>
          <w:rFonts w:ascii="Times New Roman" w:hAnsi="Times New Roman" w:cs="Times New Roman"/>
          <w:sz w:val="20"/>
          <w:szCs w:val="20"/>
        </w:rPr>
        <w:t>, and this intervention resulted in patients feeling more prepared for their appointments and more likely to communicate their priorities. This intervention by Grant et al.</w:t>
      </w:r>
      <w:r w:rsidRPr="00B855E2">
        <w:rPr>
          <w:rFonts w:ascii="Times New Roman" w:hAnsi="Times New Roman" w:cs="Times New Roman"/>
          <w:color w:val="FF0000"/>
          <w:sz w:val="20"/>
          <w:szCs w:val="20"/>
        </w:rPr>
        <w:t xml:space="preserve"> </w:t>
      </w:r>
      <w:r w:rsidR="00BD4BFC" w:rsidRPr="00B855E2">
        <w:rPr>
          <w:rFonts w:ascii="Times New Roman" w:hAnsi="Times New Roman" w:cs="Times New Roman"/>
          <w:color w:val="FF0000"/>
          <w:sz w:val="20"/>
          <w:szCs w:val="20"/>
        </w:rPr>
        <w:t>[14]</w:t>
      </w:r>
      <w:r w:rsidRPr="00B855E2">
        <w:rPr>
          <w:rFonts w:ascii="Times New Roman" w:hAnsi="Times New Roman" w:cs="Times New Roman"/>
          <w:sz w:val="20"/>
          <w:szCs w:val="20"/>
        </w:rPr>
        <w:t xml:space="preserve"> also did not show an improvement in clinical outcomes. Both </w:t>
      </w:r>
      <w:proofErr w:type="gramStart"/>
      <w:r w:rsidRPr="00B855E2">
        <w:rPr>
          <w:rFonts w:ascii="Times New Roman" w:hAnsi="Times New Roman" w:cs="Times New Roman"/>
          <w:sz w:val="20"/>
          <w:szCs w:val="20"/>
        </w:rPr>
        <w:t>Vo et al</w:t>
      </w:r>
      <w:proofErr w:type="gramEnd"/>
      <w:r w:rsidRPr="00B855E2">
        <w:rPr>
          <w:rFonts w:ascii="Times New Roman" w:hAnsi="Times New Roman" w:cs="Times New Roman"/>
          <w:sz w:val="20"/>
          <w:szCs w:val="20"/>
        </w:rPr>
        <w:t xml:space="preserve">. </w:t>
      </w:r>
      <w:r w:rsidR="00F4630B" w:rsidRPr="00B855E2">
        <w:rPr>
          <w:rFonts w:ascii="Times New Roman" w:hAnsi="Times New Roman" w:cs="Times New Roman"/>
          <w:color w:val="FF0000"/>
          <w:sz w:val="20"/>
          <w:szCs w:val="20"/>
        </w:rPr>
        <w:t>[13]</w:t>
      </w:r>
      <w:r w:rsidRPr="00B855E2">
        <w:rPr>
          <w:rFonts w:ascii="Times New Roman" w:hAnsi="Times New Roman" w:cs="Times New Roman"/>
          <w:sz w:val="20"/>
          <w:szCs w:val="20"/>
        </w:rPr>
        <w:t xml:space="preserve"> and Grant et al.</w:t>
      </w:r>
      <w:r w:rsidRPr="00B855E2">
        <w:rPr>
          <w:rFonts w:ascii="Times New Roman" w:hAnsi="Times New Roman" w:cs="Times New Roman"/>
          <w:color w:val="FF0000"/>
          <w:sz w:val="20"/>
          <w:szCs w:val="20"/>
        </w:rPr>
        <w:t xml:space="preserve"> </w:t>
      </w:r>
      <w:r w:rsidR="00BD4BFC" w:rsidRPr="00B855E2">
        <w:rPr>
          <w:rFonts w:ascii="Times New Roman" w:hAnsi="Times New Roman" w:cs="Times New Roman"/>
          <w:color w:val="FF0000"/>
          <w:sz w:val="20"/>
          <w:szCs w:val="20"/>
        </w:rPr>
        <w:t>[14]</w:t>
      </w:r>
      <w:r w:rsidRPr="00B855E2">
        <w:rPr>
          <w:rFonts w:ascii="Times New Roman" w:hAnsi="Times New Roman" w:cs="Times New Roman"/>
          <w:sz w:val="20"/>
          <w:szCs w:val="20"/>
        </w:rPr>
        <w:t xml:space="preserve"> concluded that perhaps a more in-depth approach to pre-visit planning would be needed to see the improvements in T2DM clinical outcomes. Glenn et al.</w:t>
      </w:r>
      <w:r w:rsidRPr="00B855E2">
        <w:rPr>
          <w:rFonts w:ascii="Times New Roman" w:hAnsi="Times New Roman" w:cs="Times New Roman"/>
          <w:color w:val="FF0000"/>
          <w:sz w:val="20"/>
          <w:szCs w:val="20"/>
        </w:rPr>
        <w:t xml:space="preserve"> </w:t>
      </w:r>
      <w:r w:rsidR="003C5EE3" w:rsidRPr="00B855E2">
        <w:rPr>
          <w:rFonts w:ascii="Times New Roman" w:hAnsi="Times New Roman" w:cs="Times New Roman"/>
          <w:color w:val="FF0000"/>
          <w:sz w:val="20"/>
          <w:szCs w:val="20"/>
        </w:rPr>
        <w:t>[12]</w:t>
      </w:r>
      <w:r w:rsidRPr="00B855E2">
        <w:rPr>
          <w:rFonts w:ascii="Times New Roman" w:hAnsi="Times New Roman" w:cs="Times New Roman"/>
          <w:sz w:val="20"/>
          <w:szCs w:val="20"/>
        </w:rPr>
        <w:t xml:space="preserve"> completed a study with adolescents and young adults with chronic kidney disease and found that higher levels of patient engagement were associated with higher post-visit adherence to treatment plans. While this is a positive finding, the age and condition of those studied may affect the transferability of these findings. The use of patient engagement in the above studies overall showed a positive impact on patient experiences but varying rates of success in improving the clinical measures of T2DM. </w:t>
      </w:r>
    </w:p>
    <w:p w14:paraId="2004E625"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76FDEEC8"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B855E2">
        <w:rPr>
          <w:rFonts w:ascii="Times New Roman" w:hAnsi="Times New Roman" w:cs="Times New Roman"/>
          <w:b/>
          <w:bCs/>
          <w:sz w:val="20"/>
          <w:szCs w:val="20"/>
        </w:rPr>
        <w:t>Cost Benefits</w:t>
      </w:r>
    </w:p>
    <w:p w14:paraId="06BE6A97"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520BE71D" w14:textId="4DD23B2B"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Cost benefits were the second theme identified from the literature review. Burton et al.</w:t>
      </w:r>
      <w:r w:rsidRPr="00B855E2">
        <w:rPr>
          <w:rFonts w:ascii="Times New Roman" w:hAnsi="Times New Roman" w:cs="Times New Roman"/>
          <w:color w:val="FF0000"/>
          <w:sz w:val="20"/>
          <w:szCs w:val="20"/>
        </w:rPr>
        <w:t xml:space="preserve"> </w:t>
      </w:r>
      <w:r w:rsidR="00F123CA" w:rsidRPr="00B855E2">
        <w:rPr>
          <w:rFonts w:ascii="Times New Roman" w:hAnsi="Times New Roman" w:cs="Times New Roman"/>
          <w:color w:val="FF0000"/>
          <w:sz w:val="20"/>
          <w:szCs w:val="20"/>
        </w:rPr>
        <w:t>[10]</w:t>
      </w:r>
      <w:r w:rsidRPr="00B855E2">
        <w:rPr>
          <w:rFonts w:ascii="Times New Roman" w:hAnsi="Times New Roman" w:cs="Times New Roman"/>
          <w:sz w:val="20"/>
          <w:szCs w:val="20"/>
        </w:rPr>
        <w:t xml:space="preserve"> conducted a review of claims to identify components of PCMH that were associated with decreased spending and healthcare utilization from Medicare beneficiaries. These authors identified six activities that showed a </w:t>
      </w:r>
      <w:proofErr w:type="gramStart"/>
      <w:r w:rsidRPr="00B855E2">
        <w:rPr>
          <w:rFonts w:ascii="Times New Roman" w:hAnsi="Times New Roman" w:cs="Times New Roman"/>
          <w:sz w:val="20"/>
          <w:szCs w:val="20"/>
        </w:rPr>
        <w:t>cost-saving</w:t>
      </w:r>
      <w:proofErr w:type="gramEnd"/>
      <w:r w:rsidRPr="00B855E2">
        <w:rPr>
          <w:rFonts w:ascii="Times New Roman" w:hAnsi="Times New Roman" w:cs="Times New Roman"/>
          <w:sz w:val="20"/>
          <w:szCs w:val="20"/>
        </w:rPr>
        <w:t xml:space="preserve">; using the registry for reminding patients due for preventative services, using the registry for pre-visit planning and clinician reminders, monitoring patients during hospital stays, developing referral protocols, and using quality improvement approaches </w:t>
      </w:r>
      <w:r w:rsidR="00F123CA" w:rsidRPr="00B855E2">
        <w:rPr>
          <w:rFonts w:ascii="Times New Roman" w:hAnsi="Times New Roman" w:cs="Times New Roman"/>
          <w:color w:val="FF0000"/>
          <w:sz w:val="20"/>
          <w:szCs w:val="20"/>
        </w:rPr>
        <w:t>[10]</w:t>
      </w:r>
      <w:r w:rsidRPr="00B855E2">
        <w:rPr>
          <w:rFonts w:ascii="Times New Roman" w:hAnsi="Times New Roman" w:cs="Times New Roman"/>
          <w:sz w:val="20"/>
          <w:szCs w:val="20"/>
        </w:rPr>
        <w:t xml:space="preserve">. Most notable for this DNP project proposal is that utilizing the registry for pre-visit planning and clinician reminders showed a cost savings of $29.31 per beneficiary per month </w:t>
      </w:r>
      <w:r w:rsidR="00F123CA" w:rsidRPr="00B855E2">
        <w:rPr>
          <w:rFonts w:ascii="Times New Roman" w:hAnsi="Times New Roman" w:cs="Times New Roman"/>
          <w:color w:val="FF0000"/>
          <w:sz w:val="20"/>
          <w:szCs w:val="20"/>
        </w:rPr>
        <w:t>[10]</w:t>
      </w:r>
      <w:r w:rsidRPr="00B855E2">
        <w:rPr>
          <w:rFonts w:ascii="Times New Roman" w:hAnsi="Times New Roman" w:cs="Times New Roman"/>
          <w:sz w:val="20"/>
          <w:szCs w:val="20"/>
        </w:rPr>
        <w:t>. Bodenheimer &amp; Willard-Grace</w:t>
      </w:r>
      <w:r w:rsidRPr="00B855E2">
        <w:rPr>
          <w:rFonts w:ascii="Times New Roman" w:hAnsi="Times New Roman" w:cs="Times New Roman"/>
          <w:color w:val="FF0000"/>
          <w:sz w:val="20"/>
          <w:szCs w:val="20"/>
        </w:rPr>
        <w:t xml:space="preserve"> </w:t>
      </w:r>
      <w:r w:rsidR="005538AF" w:rsidRPr="00B855E2">
        <w:rPr>
          <w:rFonts w:ascii="Times New Roman" w:hAnsi="Times New Roman" w:cs="Times New Roman"/>
          <w:color w:val="FF0000"/>
          <w:sz w:val="20"/>
          <w:szCs w:val="20"/>
        </w:rPr>
        <w:t>[15]</w:t>
      </w:r>
      <w:r w:rsidRPr="00B855E2">
        <w:rPr>
          <w:rFonts w:ascii="Times New Roman" w:hAnsi="Times New Roman" w:cs="Times New Roman"/>
          <w:sz w:val="20"/>
          <w:szCs w:val="20"/>
        </w:rPr>
        <w:t xml:space="preserve"> conducted a review that showed the utilization of ancillary healthcare team members such as nurses, pharmacists, and social workers for planned diabetes management visits decreases the cost of their care and also improves their glycemic control. Matulis &amp; McCoy</w:t>
      </w:r>
      <w:r w:rsidRPr="00B855E2">
        <w:rPr>
          <w:rFonts w:ascii="Times New Roman" w:hAnsi="Times New Roman" w:cs="Times New Roman"/>
          <w:color w:val="FF0000"/>
          <w:sz w:val="20"/>
          <w:szCs w:val="20"/>
        </w:rPr>
        <w:t xml:space="preserve"> </w:t>
      </w:r>
      <w:r w:rsidR="00E131F2" w:rsidRPr="00B855E2">
        <w:rPr>
          <w:rFonts w:ascii="Times New Roman" w:hAnsi="Times New Roman" w:cs="Times New Roman"/>
          <w:color w:val="FF0000"/>
          <w:sz w:val="20"/>
          <w:szCs w:val="20"/>
        </w:rPr>
        <w:t>[16]</w:t>
      </w:r>
      <w:r w:rsidRPr="00B855E2">
        <w:rPr>
          <w:rFonts w:ascii="Times New Roman" w:hAnsi="Times New Roman" w:cs="Times New Roman"/>
          <w:sz w:val="20"/>
          <w:szCs w:val="20"/>
        </w:rPr>
        <w:t xml:space="preserve"> identified that utilizing the PCC model for appointment scheduling could improve efficiency and both patient and clinician satisfaction. Changes to achieve this include entrusting scheduling to the primary care team, pre-visit planning, engaging the ancillary term, and utilizing technology such as telehealth and artificial intelligence in the scheduling process </w:t>
      </w:r>
      <w:r w:rsidR="00E131F2" w:rsidRPr="00B855E2">
        <w:rPr>
          <w:rFonts w:ascii="Times New Roman" w:hAnsi="Times New Roman" w:cs="Times New Roman"/>
          <w:color w:val="FF0000"/>
          <w:sz w:val="20"/>
          <w:szCs w:val="20"/>
        </w:rPr>
        <w:t>[16]</w:t>
      </w:r>
      <w:r w:rsidRPr="00B855E2">
        <w:rPr>
          <w:rFonts w:ascii="Times New Roman" w:hAnsi="Times New Roman" w:cs="Times New Roman"/>
          <w:sz w:val="20"/>
          <w:szCs w:val="20"/>
        </w:rPr>
        <w:t xml:space="preserve">. The above efforts contributed to cost savings through a decrease in the number of return visits for unaddressed concerns </w:t>
      </w:r>
      <w:r w:rsidR="00E131F2" w:rsidRPr="00B855E2">
        <w:rPr>
          <w:rFonts w:ascii="Times New Roman" w:hAnsi="Times New Roman" w:cs="Times New Roman"/>
          <w:color w:val="FF0000"/>
          <w:sz w:val="20"/>
          <w:szCs w:val="20"/>
        </w:rPr>
        <w:t>[16]</w:t>
      </w:r>
      <w:r w:rsidRPr="00B855E2">
        <w:rPr>
          <w:rFonts w:ascii="Times New Roman" w:hAnsi="Times New Roman" w:cs="Times New Roman"/>
          <w:sz w:val="20"/>
          <w:szCs w:val="20"/>
        </w:rPr>
        <w:t xml:space="preserve">. Implementing PCC through the multidisciplinary approach to diabetes management and inclusion of pre-visit planning in the care of patients with diabetes, and in the scheduling process, was shown to decrease overall healthcare costs </w:t>
      </w:r>
      <w:r w:rsidR="00E131F2" w:rsidRPr="00B855E2">
        <w:rPr>
          <w:rFonts w:ascii="Times New Roman" w:hAnsi="Times New Roman" w:cs="Times New Roman"/>
          <w:color w:val="FF0000"/>
          <w:sz w:val="20"/>
          <w:szCs w:val="20"/>
        </w:rPr>
        <w:t>[10,15,16]</w:t>
      </w:r>
      <w:r w:rsidRPr="00B855E2">
        <w:rPr>
          <w:rFonts w:ascii="Times New Roman" w:hAnsi="Times New Roman" w:cs="Times New Roman"/>
          <w:sz w:val="20"/>
          <w:szCs w:val="20"/>
        </w:rPr>
        <w:t>.</w:t>
      </w:r>
    </w:p>
    <w:p w14:paraId="2DAE2F95"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0E643E20"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B855E2">
        <w:rPr>
          <w:rFonts w:ascii="Times New Roman" w:hAnsi="Times New Roman" w:cs="Times New Roman"/>
          <w:b/>
          <w:bCs/>
          <w:sz w:val="20"/>
          <w:szCs w:val="20"/>
        </w:rPr>
        <w:t>Time Management</w:t>
      </w:r>
    </w:p>
    <w:p w14:paraId="36B000AE"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1916EFC0" w14:textId="3FEB371D"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The third theme identified through the literature review was time management. Pre-visit planning was found to be an effective method for improving time management for the care of patients with T2DM </w:t>
      </w:r>
      <w:r w:rsidR="00AB32C4" w:rsidRPr="00B855E2">
        <w:rPr>
          <w:rFonts w:ascii="Times New Roman" w:hAnsi="Times New Roman" w:cs="Times New Roman"/>
          <w:color w:val="FF0000"/>
          <w:sz w:val="20"/>
          <w:szCs w:val="20"/>
        </w:rPr>
        <w:t>[13</w:t>
      </w:r>
      <w:proofErr w:type="gramStart"/>
      <w:r w:rsidR="00AB32C4" w:rsidRPr="00B855E2">
        <w:rPr>
          <w:rFonts w:ascii="Times New Roman" w:hAnsi="Times New Roman" w:cs="Times New Roman"/>
          <w:color w:val="FF0000"/>
          <w:sz w:val="20"/>
          <w:szCs w:val="20"/>
        </w:rPr>
        <w:t>,17,18</w:t>
      </w:r>
      <w:proofErr w:type="gramEnd"/>
      <w:r w:rsidR="00AB32C4" w:rsidRPr="00B855E2">
        <w:rPr>
          <w:rFonts w:ascii="Times New Roman" w:hAnsi="Times New Roman" w:cs="Times New Roman"/>
          <w:color w:val="FF0000"/>
          <w:sz w:val="20"/>
          <w:szCs w:val="20"/>
        </w:rPr>
        <w:t>]</w:t>
      </w:r>
      <w:r w:rsidRPr="00B855E2">
        <w:rPr>
          <w:rFonts w:ascii="Times New Roman" w:hAnsi="Times New Roman" w:cs="Times New Roman"/>
          <w:sz w:val="20"/>
          <w:szCs w:val="20"/>
        </w:rPr>
        <w:t xml:space="preserve">. Patient-centered scheduling using pre-visit planning was an intervention that was found to be an effective way to improve time management in the primary care setting and resulted in improved efficiency of appointments and increases in both patient and provider satisfaction with appointments </w:t>
      </w:r>
      <w:r w:rsidR="00E131F2" w:rsidRPr="00B855E2">
        <w:rPr>
          <w:rFonts w:ascii="Times New Roman" w:hAnsi="Times New Roman" w:cs="Times New Roman"/>
          <w:color w:val="FF0000"/>
          <w:sz w:val="20"/>
          <w:szCs w:val="20"/>
        </w:rPr>
        <w:t>[16]</w:t>
      </w:r>
      <w:r w:rsidRPr="00B855E2">
        <w:rPr>
          <w:rFonts w:ascii="Times New Roman" w:hAnsi="Times New Roman" w:cs="Times New Roman"/>
          <w:sz w:val="20"/>
          <w:szCs w:val="20"/>
        </w:rPr>
        <w:t xml:space="preserve">. </w:t>
      </w:r>
      <w:proofErr w:type="gramStart"/>
      <w:r w:rsidRPr="00B855E2">
        <w:rPr>
          <w:rFonts w:ascii="Times New Roman" w:hAnsi="Times New Roman" w:cs="Times New Roman"/>
          <w:sz w:val="20"/>
          <w:szCs w:val="20"/>
        </w:rPr>
        <w:t xml:space="preserve">The lack of time to address T2DM care management in primary care was cited as a concern in several papers, and the practice of incorporating other members of the healthcare team such as nurses, pharmacists, social workers, endocrinologists, and diabetes educators, is an intervention that can help to support the primary care provider in their management of patients with T2DM </w:t>
      </w:r>
      <w:r w:rsidR="00B67B7C" w:rsidRPr="00B855E2">
        <w:rPr>
          <w:rFonts w:ascii="Times New Roman" w:hAnsi="Times New Roman" w:cs="Times New Roman"/>
          <w:color w:val="FF0000"/>
          <w:sz w:val="20"/>
          <w:szCs w:val="20"/>
        </w:rPr>
        <w:t>[15</w:t>
      </w:r>
      <w:r w:rsidR="00D06E8C" w:rsidRPr="00B855E2">
        <w:rPr>
          <w:rFonts w:ascii="Times New Roman" w:hAnsi="Times New Roman" w:cs="Times New Roman"/>
          <w:color w:val="FF0000"/>
          <w:sz w:val="20"/>
          <w:szCs w:val="20"/>
        </w:rPr>
        <w:t>,19]</w:t>
      </w:r>
      <w:r w:rsidRPr="00B855E2">
        <w:rPr>
          <w:rFonts w:ascii="Times New Roman" w:hAnsi="Times New Roman" w:cs="Times New Roman"/>
          <w:sz w:val="20"/>
          <w:szCs w:val="20"/>
        </w:rPr>
        <w:t>.</w:t>
      </w:r>
      <w:proofErr w:type="gramEnd"/>
      <w:r w:rsidRPr="00B855E2">
        <w:rPr>
          <w:rFonts w:ascii="Times New Roman" w:hAnsi="Times New Roman" w:cs="Times New Roman"/>
          <w:sz w:val="20"/>
          <w:szCs w:val="20"/>
        </w:rPr>
        <w:t xml:space="preserve"> Utilizing ancillary healthcare team members for aspects of the care that can be delegated such as nutrition education, medication education, and management, case management can decrease the amount of information that needs to be addressed during a primary care visit and can allow more thorough discussion and evaluations into areas of concern </w:t>
      </w:r>
      <w:r w:rsidR="00D06E8C" w:rsidRPr="00B855E2">
        <w:rPr>
          <w:rFonts w:ascii="Times New Roman" w:hAnsi="Times New Roman" w:cs="Times New Roman"/>
          <w:color w:val="FF0000"/>
          <w:sz w:val="20"/>
          <w:szCs w:val="20"/>
        </w:rPr>
        <w:t>[15,19]</w:t>
      </w:r>
      <w:r w:rsidRPr="00B855E2">
        <w:rPr>
          <w:rFonts w:ascii="Times New Roman" w:hAnsi="Times New Roman" w:cs="Times New Roman"/>
          <w:sz w:val="20"/>
          <w:szCs w:val="20"/>
        </w:rPr>
        <w:t xml:space="preserve">. In the study by Davis et al. </w:t>
      </w:r>
      <w:r w:rsidR="00014EF6" w:rsidRPr="00B855E2">
        <w:rPr>
          <w:rFonts w:ascii="Times New Roman" w:hAnsi="Times New Roman" w:cs="Times New Roman"/>
          <w:color w:val="FF0000"/>
          <w:sz w:val="20"/>
          <w:szCs w:val="20"/>
        </w:rPr>
        <w:t>[19]</w:t>
      </w:r>
      <w:r w:rsidRPr="00B855E2">
        <w:rPr>
          <w:rFonts w:ascii="Times New Roman" w:hAnsi="Times New Roman" w:cs="Times New Roman"/>
          <w:sz w:val="20"/>
          <w:szCs w:val="20"/>
        </w:rPr>
        <w:t xml:space="preserve"> endocrinologists and diabetes educators developed a care management plan and provided that to the patient’s primary care provider, this intervention was shown to increase compliance with medications and result in a sustained reduction in A1C of 1.2% for at least 12 months </w:t>
      </w:r>
      <w:r w:rsidR="00A565FB" w:rsidRPr="00B855E2">
        <w:rPr>
          <w:rFonts w:ascii="Times New Roman" w:hAnsi="Times New Roman" w:cs="Times New Roman"/>
          <w:color w:val="FF0000"/>
          <w:sz w:val="20"/>
          <w:szCs w:val="20"/>
        </w:rPr>
        <w:t>[19]</w:t>
      </w:r>
      <w:r w:rsidRPr="00B855E2">
        <w:rPr>
          <w:rFonts w:ascii="Times New Roman" w:hAnsi="Times New Roman" w:cs="Times New Roman"/>
          <w:sz w:val="20"/>
          <w:szCs w:val="20"/>
        </w:rPr>
        <w:t xml:space="preserve">. The above interventions of using patient-centered scheduling and involving other healthcare team members in managing care for patients with T2DM were effective strategies to improve the efficiency of appointments. </w:t>
      </w:r>
    </w:p>
    <w:p w14:paraId="15712926"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C81941">
        <w:rPr>
          <w:rFonts w:ascii="Times New Roman" w:hAnsi="Times New Roman" w:cs="Times New Roman"/>
          <w:b/>
          <w:bCs/>
          <w:szCs w:val="20"/>
        </w:rPr>
        <w:lastRenderedPageBreak/>
        <w:t>Project Methods and Design</w:t>
      </w:r>
    </w:p>
    <w:p w14:paraId="31444C28"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242A5A99"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B855E2">
        <w:rPr>
          <w:rFonts w:ascii="Times New Roman" w:hAnsi="Times New Roman" w:cs="Times New Roman"/>
          <w:b/>
          <w:bCs/>
          <w:sz w:val="20"/>
          <w:szCs w:val="20"/>
        </w:rPr>
        <w:t>Project Design</w:t>
      </w:r>
    </w:p>
    <w:p w14:paraId="07E25EAD"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1256C414" w14:textId="2A2CEA52"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This DNP project used a quantitative quasi-experimental design to evaluate patients’ opinions on the effectiveness of utilizing the AAFP Diabetes Assessment Form for pre-visit planning before their routine DMII appointments. A quasi-experimental study is a type of research design that is non-experimental as there is no control or comparison group required, and there is no randomization of participants as there would be in a randomized controlled trial </w:t>
      </w:r>
      <w:r w:rsidR="008B5E68" w:rsidRPr="00B855E2">
        <w:rPr>
          <w:rFonts w:ascii="Times New Roman" w:hAnsi="Times New Roman" w:cs="Times New Roman"/>
          <w:color w:val="FF0000"/>
          <w:sz w:val="20"/>
          <w:szCs w:val="20"/>
        </w:rPr>
        <w:t>[20]</w:t>
      </w:r>
      <w:r w:rsidRPr="00B855E2">
        <w:rPr>
          <w:rFonts w:ascii="Times New Roman" w:hAnsi="Times New Roman" w:cs="Times New Roman"/>
          <w:sz w:val="20"/>
          <w:szCs w:val="20"/>
        </w:rPr>
        <w:t>.</w:t>
      </w:r>
    </w:p>
    <w:p w14:paraId="2BA0ED66" w14:textId="77777777" w:rsidR="008B1670" w:rsidRPr="00B855E2" w:rsidRDefault="008B1670" w:rsidP="00B855E2">
      <w:pPr>
        <w:spacing w:line="240" w:lineRule="auto"/>
        <w:contextualSpacing/>
        <w:mirrorIndents/>
        <w:jc w:val="both"/>
        <w:rPr>
          <w:rFonts w:ascii="Times New Roman" w:hAnsi="Times New Roman" w:cs="Times New Roman"/>
          <w:sz w:val="20"/>
          <w:szCs w:val="20"/>
        </w:rPr>
      </w:pPr>
    </w:p>
    <w:p w14:paraId="25ACF3B5"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B855E2">
        <w:rPr>
          <w:rFonts w:ascii="Times New Roman" w:hAnsi="Times New Roman" w:cs="Times New Roman"/>
          <w:b/>
          <w:bCs/>
          <w:sz w:val="20"/>
          <w:szCs w:val="20"/>
        </w:rPr>
        <w:t>Project Setting</w:t>
      </w:r>
    </w:p>
    <w:p w14:paraId="770E2252"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74478D23" w14:textId="66AB5992"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The project setting was the East Aurora Family Practice (EAFP), a private family practice located at 112 Olean St, Suite 220 in East Aurora, NY, 14052. The EAFP is a Patient-Centered Medical Home, which means the practice implements specific interventions to improve patient-centeredness </w:t>
      </w:r>
      <w:r w:rsidR="002176FC" w:rsidRPr="00B855E2">
        <w:rPr>
          <w:rFonts w:ascii="Times New Roman" w:hAnsi="Times New Roman" w:cs="Times New Roman"/>
          <w:color w:val="FF0000"/>
          <w:sz w:val="20"/>
          <w:szCs w:val="20"/>
        </w:rPr>
        <w:t>[3]</w:t>
      </w:r>
      <w:r w:rsidRPr="00B855E2">
        <w:rPr>
          <w:rFonts w:ascii="Times New Roman" w:hAnsi="Times New Roman" w:cs="Times New Roman"/>
          <w:sz w:val="20"/>
          <w:szCs w:val="20"/>
        </w:rPr>
        <w:t xml:space="preserve">. East Aurora is a small village just south of Buffalo, NY with a population of 5998 individuals as reported on the 2020 census results </w:t>
      </w:r>
      <w:r w:rsidR="00B46EF2" w:rsidRPr="00B855E2">
        <w:rPr>
          <w:rFonts w:ascii="Times New Roman" w:hAnsi="Times New Roman" w:cs="Times New Roman"/>
          <w:color w:val="FF0000"/>
          <w:sz w:val="20"/>
          <w:szCs w:val="20"/>
        </w:rPr>
        <w:t>[21</w:t>
      </w:r>
      <w:proofErr w:type="gramStart"/>
      <w:r w:rsidR="00C672F3" w:rsidRPr="00B855E2">
        <w:rPr>
          <w:rFonts w:ascii="Times New Roman" w:hAnsi="Times New Roman" w:cs="Times New Roman"/>
          <w:color w:val="FF0000"/>
          <w:sz w:val="20"/>
          <w:szCs w:val="20"/>
        </w:rPr>
        <w:t>,22</w:t>
      </w:r>
      <w:proofErr w:type="gramEnd"/>
      <w:r w:rsidR="00B46EF2" w:rsidRPr="00B855E2">
        <w:rPr>
          <w:rFonts w:ascii="Times New Roman" w:hAnsi="Times New Roman" w:cs="Times New Roman"/>
          <w:color w:val="FF0000"/>
          <w:sz w:val="20"/>
          <w:szCs w:val="20"/>
        </w:rPr>
        <w:t>]</w:t>
      </w:r>
      <w:r w:rsidRPr="00B855E2">
        <w:rPr>
          <w:rFonts w:ascii="Times New Roman" w:hAnsi="Times New Roman" w:cs="Times New Roman"/>
          <w:sz w:val="20"/>
          <w:szCs w:val="20"/>
        </w:rPr>
        <w:t xml:space="preserve">. The EAFP serves the Village of East Aurora and the surrounding area with a total patient census of 8780. This practice consists of </w:t>
      </w:r>
      <w:proofErr w:type="gramStart"/>
      <w:r w:rsidRPr="00B855E2">
        <w:rPr>
          <w:rFonts w:ascii="Times New Roman" w:hAnsi="Times New Roman" w:cs="Times New Roman"/>
          <w:sz w:val="20"/>
          <w:szCs w:val="20"/>
        </w:rPr>
        <w:t>4</w:t>
      </w:r>
      <w:proofErr w:type="gramEnd"/>
      <w:r w:rsidRPr="00B855E2">
        <w:rPr>
          <w:rFonts w:ascii="Times New Roman" w:hAnsi="Times New Roman" w:cs="Times New Roman"/>
          <w:sz w:val="20"/>
          <w:szCs w:val="20"/>
        </w:rPr>
        <w:t xml:space="preserve"> family physicians, 2 nurse practitioners, 3 physician assistants, 4 licensed practical nurses, 2 medical assistants, and 8 administrative staff. The electronic medical record software used by this practice is </w:t>
      </w:r>
      <w:proofErr w:type="spellStart"/>
      <w:r w:rsidRPr="00B855E2">
        <w:rPr>
          <w:rFonts w:ascii="Times New Roman" w:hAnsi="Times New Roman" w:cs="Times New Roman"/>
          <w:sz w:val="20"/>
          <w:szCs w:val="20"/>
        </w:rPr>
        <w:t>EClinical</w:t>
      </w:r>
      <w:proofErr w:type="spellEnd"/>
      <w:r w:rsidRPr="00B855E2">
        <w:rPr>
          <w:rFonts w:ascii="Times New Roman" w:hAnsi="Times New Roman" w:cs="Times New Roman"/>
          <w:sz w:val="20"/>
          <w:szCs w:val="20"/>
        </w:rPr>
        <w:t>.</w:t>
      </w:r>
    </w:p>
    <w:p w14:paraId="77FE6089"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74CA6C77"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B855E2">
        <w:rPr>
          <w:rFonts w:ascii="Times New Roman" w:hAnsi="Times New Roman" w:cs="Times New Roman"/>
          <w:b/>
          <w:bCs/>
          <w:sz w:val="20"/>
          <w:szCs w:val="20"/>
        </w:rPr>
        <w:t>Participants or Subjects</w:t>
      </w:r>
    </w:p>
    <w:p w14:paraId="14B00572"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3FCDB5C3"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roofErr w:type="gramStart"/>
      <w:r w:rsidRPr="00B855E2">
        <w:rPr>
          <w:rFonts w:ascii="Times New Roman" w:hAnsi="Times New Roman" w:cs="Times New Roman"/>
          <w:sz w:val="20"/>
          <w:szCs w:val="20"/>
        </w:rPr>
        <w:t>Participant eligibility for this study was based on the following inclusion criteria; they must be a current patient of the East Aurora Family Practice, they must have a current diagnosis of T2DM, they must be 18 years of age or older, and they must be scheduled for a routine appointment during the study time frame of September 18th to October 6th, 2023.</w:t>
      </w:r>
      <w:proofErr w:type="gramEnd"/>
      <w:r w:rsidRPr="00B855E2">
        <w:rPr>
          <w:rFonts w:ascii="Times New Roman" w:hAnsi="Times New Roman" w:cs="Times New Roman"/>
          <w:sz w:val="20"/>
          <w:szCs w:val="20"/>
        </w:rPr>
        <w:t xml:space="preserve"> Exclusion criteria would include those who have no diagnosis of DMII, those under the age of 18 years old, and those either without an appointment during the study timeframe or those with an acute/sick visit during the study timeframe. A registry review </w:t>
      </w:r>
      <w:proofErr w:type="gramStart"/>
      <w:r w:rsidRPr="00B855E2">
        <w:rPr>
          <w:rFonts w:ascii="Times New Roman" w:hAnsi="Times New Roman" w:cs="Times New Roman"/>
          <w:sz w:val="20"/>
          <w:szCs w:val="20"/>
        </w:rPr>
        <w:t>was conducted</w:t>
      </w:r>
      <w:proofErr w:type="gramEnd"/>
      <w:r w:rsidRPr="00B855E2">
        <w:rPr>
          <w:rFonts w:ascii="Times New Roman" w:hAnsi="Times New Roman" w:cs="Times New Roman"/>
          <w:sz w:val="20"/>
          <w:szCs w:val="20"/>
        </w:rPr>
        <w:t xml:space="preserve"> within the electronic medical record of the practice to identify eligible participants. The search criteria included patients with an International Classification of Diseases, 10th revision (ICD 10) code: E11.00 through E11.9 to capture all patients of the East Aurora Family Practice with a diagnosis of type two diabetes, as well as the above-described age and appointment parameters. The </w:t>
      </w:r>
      <w:proofErr w:type="gramStart"/>
      <w:r w:rsidRPr="00B855E2">
        <w:rPr>
          <w:rFonts w:ascii="Times New Roman" w:hAnsi="Times New Roman" w:cs="Times New Roman"/>
          <w:sz w:val="20"/>
          <w:szCs w:val="20"/>
        </w:rPr>
        <w:t>registry review will be conducted by the DNP student utilizing the above-specified criteria</w:t>
      </w:r>
      <w:proofErr w:type="gramEnd"/>
      <w:r w:rsidRPr="00B855E2">
        <w:rPr>
          <w:rFonts w:ascii="Times New Roman" w:hAnsi="Times New Roman" w:cs="Times New Roman"/>
          <w:sz w:val="20"/>
          <w:szCs w:val="20"/>
        </w:rPr>
        <w:t>.</w:t>
      </w:r>
    </w:p>
    <w:p w14:paraId="51C2E164"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3C4D9437"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016969">
        <w:rPr>
          <w:rFonts w:ascii="Times New Roman" w:hAnsi="Times New Roman" w:cs="Times New Roman"/>
          <w:b/>
          <w:bCs/>
          <w:szCs w:val="20"/>
        </w:rPr>
        <w:t>Data Collection</w:t>
      </w:r>
    </w:p>
    <w:p w14:paraId="073BE87C"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2052A31B" w14:textId="0B06BB43"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Before commencing this DNP project, Institutional Review Board (IRB) approval </w:t>
      </w:r>
      <w:proofErr w:type="gramStart"/>
      <w:r w:rsidRPr="00B855E2">
        <w:rPr>
          <w:rFonts w:ascii="Times New Roman" w:hAnsi="Times New Roman" w:cs="Times New Roman"/>
          <w:sz w:val="20"/>
          <w:szCs w:val="20"/>
        </w:rPr>
        <w:t>was obtained</w:t>
      </w:r>
      <w:proofErr w:type="gramEnd"/>
      <w:r w:rsidRPr="00B855E2">
        <w:rPr>
          <w:rFonts w:ascii="Times New Roman" w:hAnsi="Times New Roman" w:cs="Times New Roman"/>
          <w:sz w:val="20"/>
          <w:szCs w:val="20"/>
        </w:rPr>
        <w:t xml:space="preserve"> through the University at Buffalo and can be viewed in Appendix A. A registry review </w:t>
      </w:r>
      <w:proofErr w:type="gramStart"/>
      <w:r w:rsidRPr="00B855E2">
        <w:rPr>
          <w:rFonts w:ascii="Times New Roman" w:hAnsi="Times New Roman" w:cs="Times New Roman"/>
          <w:sz w:val="20"/>
          <w:szCs w:val="20"/>
        </w:rPr>
        <w:t>was conducted</w:t>
      </w:r>
      <w:proofErr w:type="gramEnd"/>
      <w:r w:rsidRPr="00B855E2">
        <w:rPr>
          <w:rFonts w:ascii="Times New Roman" w:hAnsi="Times New Roman" w:cs="Times New Roman"/>
          <w:sz w:val="20"/>
          <w:szCs w:val="20"/>
        </w:rPr>
        <w:t xml:space="preserve"> as described in the above section. The list of eligible participants identified as fitting the study criteria was printed and that list </w:t>
      </w:r>
      <w:proofErr w:type="gramStart"/>
      <w:r w:rsidRPr="00B855E2">
        <w:rPr>
          <w:rFonts w:ascii="Times New Roman" w:hAnsi="Times New Roman" w:cs="Times New Roman"/>
          <w:sz w:val="20"/>
          <w:szCs w:val="20"/>
        </w:rPr>
        <w:t>was provided</w:t>
      </w:r>
      <w:proofErr w:type="gramEnd"/>
      <w:r w:rsidRPr="00B855E2">
        <w:rPr>
          <w:rFonts w:ascii="Times New Roman" w:hAnsi="Times New Roman" w:cs="Times New Roman"/>
          <w:sz w:val="20"/>
          <w:szCs w:val="20"/>
        </w:rPr>
        <w:t xml:space="preserve"> to staff responsible for checking patients in for their appointments. Upon checking in for appointments, those individuals identified received a study packet. The study packet was comprised of a recruitment letter explaining the study and the option to participate (Appendix B), the AAFP Diabetes Assessment Form (Appendix C), and the Post-Intervention Survey (Appendix D). Permission </w:t>
      </w:r>
      <w:proofErr w:type="gramStart"/>
      <w:r w:rsidRPr="00B855E2">
        <w:rPr>
          <w:rFonts w:ascii="Times New Roman" w:hAnsi="Times New Roman" w:cs="Times New Roman"/>
          <w:sz w:val="20"/>
          <w:szCs w:val="20"/>
        </w:rPr>
        <w:t>has been granted</w:t>
      </w:r>
      <w:proofErr w:type="gramEnd"/>
      <w:r w:rsidRPr="00B855E2">
        <w:rPr>
          <w:rFonts w:ascii="Times New Roman" w:hAnsi="Times New Roman" w:cs="Times New Roman"/>
          <w:sz w:val="20"/>
          <w:szCs w:val="20"/>
        </w:rPr>
        <w:t xml:space="preserve"> by the AAFP in a written statement on the form itself for the use and reproduction of the AAFP Diabetes Assessment Form for use in practice. The reliability and validity of this tool are not published; however, the results of this questionnaire are not to be part of the data to be included in the results section of this study, it is only to be used as the pre-visit planning tool.</w:t>
      </w:r>
      <w:r w:rsidR="003614A5">
        <w:rPr>
          <w:rFonts w:ascii="Times New Roman" w:hAnsi="Times New Roman" w:cs="Times New Roman"/>
          <w:sz w:val="20"/>
          <w:szCs w:val="20"/>
        </w:rPr>
        <w:t xml:space="preserve"> </w:t>
      </w:r>
    </w:p>
    <w:p w14:paraId="1D481648"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718B88F7"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Patients who chose to participate in the study completed the AAFP Diabetes Assessment Form while waiting for their appointment. </w:t>
      </w:r>
      <w:proofErr w:type="gramStart"/>
      <w:r w:rsidRPr="00B855E2">
        <w:rPr>
          <w:rFonts w:ascii="Times New Roman" w:hAnsi="Times New Roman" w:cs="Times New Roman"/>
          <w:sz w:val="20"/>
          <w:szCs w:val="20"/>
        </w:rPr>
        <w:t>This form was then reviewed with them by their provider</w:t>
      </w:r>
      <w:proofErr w:type="gramEnd"/>
      <w:r w:rsidRPr="00B855E2">
        <w:rPr>
          <w:rFonts w:ascii="Times New Roman" w:hAnsi="Times New Roman" w:cs="Times New Roman"/>
          <w:sz w:val="20"/>
          <w:szCs w:val="20"/>
        </w:rPr>
        <w:t xml:space="preserve"> during their scheduled appointment time. After completing the appointment, the patient completed the brief post-intervention survey to provide feedback on using the pre-visit planning questionnaire and its impact on their appointment. The post-intervention survey </w:t>
      </w:r>
      <w:proofErr w:type="gramStart"/>
      <w:r w:rsidRPr="00B855E2">
        <w:rPr>
          <w:rFonts w:ascii="Times New Roman" w:hAnsi="Times New Roman" w:cs="Times New Roman"/>
          <w:sz w:val="20"/>
          <w:szCs w:val="20"/>
        </w:rPr>
        <w:t>was then collected</w:t>
      </w:r>
      <w:proofErr w:type="gramEnd"/>
      <w:r w:rsidRPr="00B855E2">
        <w:rPr>
          <w:rFonts w:ascii="Times New Roman" w:hAnsi="Times New Roman" w:cs="Times New Roman"/>
          <w:sz w:val="20"/>
          <w:szCs w:val="20"/>
        </w:rPr>
        <w:t xml:space="preserve"> from the patient while they checked out from their appointment. </w:t>
      </w:r>
    </w:p>
    <w:p w14:paraId="11127082"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0B72D99C"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B855E2">
        <w:rPr>
          <w:rFonts w:ascii="Times New Roman" w:hAnsi="Times New Roman" w:cs="Times New Roman"/>
          <w:b/>
          <w:bCs/>
          <w:sz w:val="20"/>
          <w:szCs w:val="20"/>
        </w:rPr>
        <w:t>Protection of Human Rights/Ethical Considerations</w:t>
      </w:r>
    </w:p>
    <w:p w14:paraId="5012F9DB"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03082BA4" w14:textId="786FD89C"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There were several processes in place to protect the participants involved in this study. Prior to the implementation of the study, IRB approval </w:t>
      </w:r>
      <w:proofErr w:type="gramStart"/>
      <w:r w:rsidRPr="00B855E2">
        <w:rPr>
          <w:rFonts w:ascii="Times New Roman" w:hAnsi="Times New Roman" w:cs="Times New Roman"/>
          <w:sz w:val="20"/>
          <w:szCs w:val="20"/>
        </w:rPr>
        <w:t>was received</w:t>
      </w:r>
      <w:proofErr w:type="gramEnd"/>
      <w:r w:rsidRPr="00B855E2">
        <w:rPr>
          <w:rFonts w:ascii="Times New Roman" w:hAnsi="Times New Roman" w:cs="Times New Roman"/>
          <w:sz w:val="20"/>
          <w:szCs w:val="20"/>
        </w:rPr>
        <w:t xml:space="preserve"> through the University at Buffalo. Reviews of patient charts </w:t>
      </w:r>
      <w:proofErr w:type="gramStart"/>
      <w:r w:rsidRPr="00B855E2">
        <w:rPr>
          <w:rFonts w:ascii="Times New Roman" w:hAnsi="Times New Roman" w:cs="Times New Roman"/>
          <w:sz w:val="20"/>
          <w:szCs w:val="20"/>
        </w:rPr>
        <w:t xml:space="preserve">were </w:t>
      </w:r>
      <w:r w:rsidRPr="00B855E2">
        <w:rPr>
          <w:rFonts w:ascii="Times New Roman" w:hAnsi="Times New Roman" w:cs="Times New Roman"/>
          <w:sz w:val="20"/>
          <w:szCs w:val="20"/>
        </w:rPr>
        <w:lastRenderedPageBreak/>
        <w:t>completed</w:t>
      </w:r>
      <w:proofErr w:type="gramEnd"/>
      <w:r w:rsidRPr="00B855E2">
        <w:rPr>
          <w:rFonts w:ascii="Times New Roman" w:hAnsi="Times New Roman" w:cs="Times New Roman"/>
          <w:sz w:val="20"/>
          <w:szCs w:val="20"/>
        </w:rPr>
        <w:t xml:space="preserve"> as described above to identify potential participants, but no information from any of the medical records was included in the study. The eligible participants were provided a letter explaining that their participation is </w:t>
      </w:r>
      <w:proofErr w:type="gramStart"/>
      <w:r w:rsidRPr="00B855E2">
        <w:rPr>
          <w:rFonts w:ascii="Times New Roman" w:hAnsi="Times New Roman" w:cs="Times New Roman"/>
          <w:sz w:val="20"/>
          <w:szCs w:val="20"/>
        </w:rPr>
        <w:t>entirely voluntary</w:t>
      </w:r>
      <w:proofErr w:type="gramEnd"/>
      <w:r w:rsidRPr="00B855E2">
        <w:rPr>
          <w:rFonts w:ascii="Times New Roman" w:hAnsi="Times New Roman" w:cs="Times New Roman"/>
          <w:sz w:val="20"/>
          <w:szCs w:val="20"/>
        </w:rPr>
        <w:t>, that their responses will be submitted anonymously, and that by completing the post-intervention survey they are providing their consent to be included in the study.</w:t>
      </w:r>
      <w:r w:rsidR="003614A5">
        <w:rPr>
          <w:rFonts w:ascii="Times New Roman" w:hAnsi="Times New Roman" w:cs="Times New Roman"/>
          <w:sz w:val="20"/>
          <w:szCs w:val="20"/>
        </w:rPr>
        <w:t xml:space="preserve"> </w:t>
      </w:r>
      <w:r w:rsidRPr="00B855E2">
        <w:rPr>
          <w:rFonts w:ascii="Times New Roman" w:hAnsi="Times New Roman" w:cs="Times New Roman"/>
          <w:sz w:val="20"/>
          <w:szCs w:val="20"/>
        </w:rPr>
        <w:t xml:space="preserve">The post-intervention surveys </w:t>
      </w:r>
      <w:proofErr w:type="gramStart"/>
      <w:r w:rsidRPr="00B855E2">
        <w:rPr>
          <w:rFonts w:ascii="Times New Roman" w:hAnsi="Times New Roman" w:cs="Times New Roman"/>
          <w:sz w:val="20"/>
          <w:szCs w:val="20"/>
        </w:rPr>
        <w:t>were submitted anonymously with no patient identifiers on them and collected in blank sealed envelopes</w:t>
      </w:r>
      <w:proofErr w:type="gramEnd"/>
      <w:r w:rsidRPr="00B855E2">
        <w:rPr>
          <w:rFonts w:ascii="Times New Roman" w:hAnsi="Times New Roman" w:cs="Times New Roman"/>
          <w:sz w:val="20"/>
          <w:szCs w:val="20"/>
        </w:rPr>
        <w:t>. All data related to this study will be stored per the approved IRB protocol.</w:t>
      </w:r>
    </w:p>
    <w:p w14:paraId="6B7EE753"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7E7D568F"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7702BE">
        <w:rPr>
          <w:rFonts w:ascii="Times New Roman" w:hAnsi="Times New Roman" w:cs="Times New Roman"/>
          <w:b/>
          <w:bCs/>
          <w:szCs w:val="20"/>
        </w:rPr>
        <w:t>Results/Findings</w:t>
      </w:r>
    </w:p>
    <w:p w14:paraId="296EA303"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147075B2"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During the study </w:t>
      </w:r>
      <w:proofErr w:type="gramStart"/>
      <w:r w:rsidRPr="00B855E2">
        <w:rPr>
          <w:rFonts w:ascii="Times New Roman" w:hAnsi="Times New Roman" w:cs="Times New Roman"/>
          <w:sz w:val="20"/>
          <w:szCs w:val="20"/>
        </w:rPr>
        <w:t>time frame</w:t>
      </w:r>
      <w:proofErr w:type="gramEnd"/>
      <w:r w:rsidRPr="00B855E2">
        <w:rPr>
          <w:rFonts w:ascii="Times New Roman" w:hAnsi="Times New Roman" w:cs="Times New Roman"/>
          <w:sz w:val="20"/>
          <w:szCs w:val="20"/>
        </w:rPr>
        <w:t xml:space="preserve"> of September 18th to October 6th, 2023, a total of 90 eligible participants were identified based on a review of the EAFP medical records. Each of these eligible participants were offered the study packets at their scheduled appointments and </w:t>
      </w:r>
      <w:proofErr w:type="gramStart"/>
      <w:r w:rsidRPr="00B855E2">
        <w:rPr>
          <w:rFonts w:ascii="Times New Roman" w:hAnsi="Times New Roman" w:cs="Times New Roman"/>
          <w:sz w:val="20"/>
          <w:szCs w:val="20"/>
        </w:rPr>
        <w:t>a total of 21</w:t>
      </w:r>
      <w:proofErr w:type="gramEnd"/>
      <w:r w:rsidRPr="00B855E2">
        <w:rPr>
          <w:rFonts w:ascii="Times New Roman" w:hAnsi="Times New Roman" w:cs="Times New Roman"/>
          <w:sz w:val="20"/>
          <w:szCs w:val="20"/>
        </w:rPr>
        <w:t xml:space="preserve"> surveys were completed and all those were included in this project. The data collected from the post-intervention surveys </w:t>
      </w:r>
      <w:proofErr w:type="gramStart"/>
      <w:r w:rsidRPr="00B855E2">
        <w:rPr>
          <w:rFonts w:ascii="Times New Roman" w:hAnsi="Times New Roman" w:cs="Times New Roman"/>
          <w:sz w:val="20"/>
          <w:szCs w:val="20"/>
        </w:rPr>
        <w:t>was entered</w:t>
      </w:r>
      <w:proofErr w:type="gramEnd"/>
      <w:r w:rsidRPr="00B855E2">
        <w:rPr>
          <w:rFonts w:ascii="Times New Roman" w:hAnsi="Times New Roman" w:cs="Times New Roman"/>
          <w:sz w:val="20"/>
          <w:szCs w:val="20"/>
        </w:rPr>
        <w:t xml:space="preserve"> into Statistical Package for Social Science (SPSS) version 29 for statistical analysis. The data </w:t>
      </w:r>
      <w:proofErr w:type="gramStart"/>
      <w:r w:rsidRPr="00B855E2">
        <w:rPr>
          <w:rFonts w:ascii="Times New Roman" w:hAnsi="Times New Roman" w:cs="Times New Roman"/>
          <w:sz w:val="20"/>
          <w:szCs w:val="20"/>
        </w:rPr>
        <w:t>was coded</w:t>
      </w:r>
      <w:proofErr w:type="gramEnd"/>
      <w:r w:rsidRPr="00B855E2">
        <w:rPr>
          <w:rFonts w:ascii="Times New Roman" w:hAnsi="Times New Roman" w:cs="Times New Roman"/>
          <w:sz w:val="20"/>
          <w:szCs w:val="20"/>
        </w:rPr>
        <w:t xml:space="preserve"> manually for entry into SPSS and analysis. The data was examined initially for missing </w:t>
      </w:r>
      <w:proofErr w:type="gramStart"/>
      <w:r w:rsidRPr="00B855E2">
        <w:rPr>
          <w:rFonts w:ascii="Times New Roman" w:hAnsi="Times New Roman" w:cs="Times New Roman"/>
          <w:sz w:val="20"/>
          <w:szCs w:val="20"/>
        </w:rPr>
        <w:t>data which</w:t>
      </w:r>
      <w:proofErr w:type="gramEnd"/>
      <w:r w:rsidRPr="00B855E2">
        <w:rPr>
          <w:rFonts w:ascii="Times New Roman" w:hAnsi="Times New Roman" w:cs="Times New Roman"/>
          <w:sz w:val="20"/>
          <w:szCs w:val="20"/>
        </w:rPr>
        <w:t xml:space="preserve"> was addressed using appropriate methods. Descriptive statistics </w:t>
      </w:r>
      <w:proofErr w:type="gramStart"/>
      <w:r w:rsidRPr="00B855E2">
        <w:rPr>
          <w:rFonts w:ascii="Times New Roman" w:hAnsi="Times New Roman" w:cs="Times New Roman"/>
          <w:sz w:val="20"/>
          <w:szCs w:val="20"/>
        </w:rPr>
        <w:t>were calculated</w:t>
      </w:r>
      <w:proofErr w:type="gramEnd"/>
      <w:r w:rsidRPr="00B855E2">
        <w:rPr>
          <w:rFonts w:ascii="Times New Roman" w:hAnsi="Times New Roman" w:cs="Times New Roman"/>
          <w:sz w:val="20"/>
          <w:szCs w:val="20"/>
        </w:rPr>
        <w:t xml:space="preserve"> to describe our samples. All statistics </w:t>
      </w:r>
      <w:proofErr w:type="gramStart"/>
      <w:r w:rsidRPr="00B855E2">
        <w:rPr>
          <w:rFonts w:ascii="Times New Roman" w:hAnsi="Times New Roman" w:cs="Times New Roman"/>
          <w:sz w:val="20"/>
          <w:szCs w:val="20"/>
        </w:rPr>
        <w:t>were evaluated</w:t>
      </w:r>
      <w:proofErr w:type="gramEnd"/>
      <w:r w:rsidRPr="00B855E2">
        <w:rPr>
          <w:rFonts w:ascii="Times New Roman" w:hAnsi="Times New Roman" w:cs="Times New Roman"/>
          <w:sz w:val="20"/>
          <w:szCs w:val="20"/>
        </w:rPr>
        <w:t xml:space="preserve"> using a significance of 0.05.</w:t>
      </w:r>
    </w:p>
    <w:p w14:paraId="395FEBB5"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2FE24184"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The post-intervention surveys included three demographic questions; gender, age, and how many years the patients have had diabetes. From the completed surveys, the gender of the participant </w:t>
      </w:r>
      <w:proofErr w:type="gramStart"/>
      <w:r w:rsidRPr="00B855E2">
        <w:rPr>
          <w:rFonts w:ascii="Times New Roman" w:hAnsi="Times New Roman" w:cs="Times New Roman"/>
          <w:sz w:val="20"/>
          <w:szCs w:val="20"/>
        </w:rPr>
        <w:t>was indicated</w:t>
      </w:r>
      <w:proofErr w:type="gramEnd"/>
      <w:r w:rsidRPr="00B855E2">
        <w:rPr>
          <w:rFonts w:ascii="Times New Roman" w:hAnsi="Times New Roman" w:cs="Times New Roman"/>
          <w:sz w:val="20"/>
          <w:szCs w:val="20"/>
        </w:rPr>
        <w:t xml:space="preserve"> to be male in 12 surveys, female in seven surveys, none of the participants chose ‘Prefer to not answer’, and two participants did not indicate their gender. The ages of participants completing the surveys included </w:t>
      </w:r>
      <w:proofErr w:type="gramStart"/>
      <w:r w:rsidRPr="00B855E2">
        <w:rPr>
          <w:rFonts w:ascii="Times New Roman" w:hAnsi="Times New Roman" w:cs="Times New Roman"/>
          <w:sz w:val="20"/>
          <w:szCs w:val="20"/>
        </w:rPr>
        <w:t>a total of eight</w:t>
      </w:r>
      <w:proofErr w:type="gramEnd"/>
      <w:r w:rsidRPr="00B855E2">
        <w:rPr>
          <w:rFonts w:ascii="Times New Roman" w:hAnsi="Times New Roman" w:cs="Times New Roman"/>
          <w:sz w:val="20"/>
          <w:szCs w:val="20"/>
        </w:rPr>
        <w:t xml:space="preserve"> participants between the ages of 40-59 years, 11 between the ages of 60-79 years, and two participants over the age of 80 years old. The years that participants have had the diagnosis of diabetes included seven participants that had had T2DM less than five years, seven participants had had T2DM between 6 and 10 years, and five participants had had T2DM for over 10 years. </w:t>
      </w:r>
    </w:p>
    <w:p w14:paraId="15F838BA"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6EA4EDE4" w14:textId="215F1B01"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The post-intervention surveys also included six questions that used Likert scales to gauge patients’ experiences with the study’s pre-visit planning intervention. </w:t>
      </w:r>
      <w:r w:rsidR="007B5FEE" w:rsidRPr="00D617FD">
        <w:rPr>
          <w:rFonts w:ascii="Times New Roman" w:hAnsi="Times New Roman" w:cs="Times New Roman"/>
          <w:color w:val="FF0000"/>
          <w:sz w:val="20"/>
          <w:szCs w:val="20"/>
        </w:rPr>
        <w:t>(</w:t>
      </w:r>
      <w:r w:rsidRPr="00D617FD">
        <w:rPr>
          <w:rFonts w:ascii="Times New Roman" w:hAnsi="Times New Roman" w:cs="Times New Roman"/>
          <w:color w:val="FF0000"/>
          <w:sz w:val="20"/>
          <w:szCs w:val="20"/>
        </w:rPr>
        <w:t>Table 1</w:t>
      </w:r>
      <w:r w:rsidR="007B5FEE" w:rsidRPr="00D617FD">
        <w:rPr>
          <w:rFonts w:ascii="Times New Roman" w:hAnsi="Times New Roman" w:cs="Times New Roman"/>
          <w:color w:val="FF0000"/>
          <w:sz w:val="20"/>
          <w:szCs w:val="20"/>
        </w:rPr>
        <w:t>)</w:t>
      </w:r>
      <w:r w:rsidRPr="00B855E2">
        <w:rPr>
          <w:rFonts w:ascii="Times New Roman" w:hAnsi="Times New Roman" w:cs="Times New Roman"/>
          <w:sz w:val="20"/>
          <w:szCs w:val="20"/>
        </w:rPr>
        <w:t xml:space="preserve"> summarizes the responses to survey questions one through six. In the first question, the participants did indicate that sufficient time was available to complete the questionnaire with 90% of participants agreeing or strongly agreeing, and in the second question, 95% of participants indicated by agreeing or strongly agreeing that the survey was easy to complete. For the third question about whether the survey </w:t>
      </w:r>
      <w:proofErr w:type="gramStart"/>
      <w:r w:rsidRPr="00B855E2">
        <w:rPr>
          <w:rFonts w:ascii="Times New Roman" w:hAnsi="Times New Roman" w:cs="Times New Roman"/>
          <w:sz w:val="20"/>
          <w:szCs w:val="20"/>
        </w:rPr>
        <w:t>was</w:t>
      </w:r>
      <w:proofErr w:type="gramEnd"/>
      <w:r w:rsidRPr="00B855E2">
        <w:rPr>
          <w:rFonts w:ascii="Times New Roman" w:hAnsi="Times New Roman" w:cs="Times New Roman"/>
          <w:sz w:val="20"/>
          <w:szCs w:val="20"/>
        </w:rPr>
        <w:t xml:space="preserve"> helpful 71% of the participants either agreed or strongly agreed, whereas only 61% of the participants agreed or strongly agreed that the pre-visit planning intervention made their appointment more effective. Question </w:t>
      </w:r>
      <w:proofErr w:type="gramStart"/>
      <w:r w:rsidRPr="00B855E2">
        <w:rPr>
          <w:rFonts w:ascii="Times New Roman" w:hAnsi="Times New Roman" w:cs="Times New Roman"/>
          <w:sz w:val="20"/>
          <w:szCs w:val="20"/>
        </w:rPr>
        <w:t>five</w:t>
      </w:r>
      <w:proofErr w:type="gramEnd"/>
      <w:r w:rsidRPr="00B855E2">
        <w:rPr>
          <w:rFonts w:ascii="Times New Roman" w:hAnsi="Times New Roman" w:cs="Times New Roman"/>
          <w:sz w:val="20"/>
          <w:szCs w:val="20"/>
        </w:rPr>
        <w:t xml:space="preserve"> showed the widest range of responses to the question of whether this would be helpful in future appointments with 57% either agreeing or strongly agreeing, 19% undecided, and 14% disagreeing. Question </w:t>
      </w:r>
      <w:proofErr w:type="gramStart"/>
      <w:r w:rsidRPr="00B855E2">
        <w:rPr>
          <w:rFonts w:ascii="Times New Roman" w:hAnsi="Times New Roman" w:cs="Times New Roman"/>
          <w:sz w:val="20"/>
          <w:szCs w:val="20"/>
        </w:rPr>
        <w:t>six</w:t>
      </w:r>
      <w:proofErr w:type="gramEnd"/>
      <w:r w:rsidRPr="00B855E2">
        <w:rPr>
          <w:rFonts w:ascii="Times New Roman" w:hAnsi="Times New Roman" w:cs="Times New Roman"/>
          <w:sz w:val="20"/>
          <w:szCs w:val="20"/>
        </w:rPr>
        <w:t xml:space="preserve"> did show that 81% of participants were satisfied with their appointments by either agreeing or strongly agreeing.</w:t>
      </w:r>
    </w:p>
    <w:p w14:paraId="3C41502D" w14:textId="0D681E30" w:rsidR="004472D6" w:rsidRPr="00B855E2" w:rsidRDefault="004472D6" w:rsidP="00B855E2">
      <w:pPr>
        <w:spacing w:line="240" w:lineRule="auto"/>
        <w:contextualSpacing/>
        <w:mirrorIndents/>
        <w:jc w:val="both"/>
        <w:rPr>
          <w:rFonts w:ascii="Times New Roman" w:hAnsi="Times New Roman" w:cs="Times New Roman"/>
          <w:sz w:val="20"/>
          <w:szCs w:val="20"/>
        </w:rPr>
      </w:pPr>
    </w:p>
    <w:tbl>
      <w:tblPr>
        <w:tblW w:w="9112" w:type="dxa"/>
        <w:jc w:val="center"/>
        <w:tblLook w:val="04A0" w:firstRow="1" w:lastRow="0" w:firstColumn="1" w:lastColumn="0" w:noHBand="0" w:noVBand="1"/>
      </w:tblPr>
      <w:tblGrid>
        <w:gridCol w:w="1100"/>
        <w:gridCol w:w="1515"/>
        <w:gridCol w:w="908"/>
        <w:gridCol w:w="1711"/>
        <w:gridCol w:w="956"/>
        <w:gridCol w:w="1801"/>
        <w:gridCol w:w="1121"/>
      </w:tblGrid>
      <w:tr w:rsidR="00654DAB" w:rsidRPr="00B855E2" w14:paraId="2C0CE869" w14:textId="77777777" w:rsidTr="00564F8A">
        <w:trPr>
          <w:trHeight w:val="124"/>
          <w:jc w:val="center"/>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4B88F" w14:textId="489CB534"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14:paraId="3E88F0CF"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lang w:val="en-US"/>
              </w:rPr>
              <w:t>Strongly Agree</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14:paraId="268B0B25"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lang w:val="en-US"/>
              </w:rPr>
              <w:t>Agree</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F376208"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lang w:val="en-US"/>
              </w:rPr>
              <w:t>Undecided/ N/A</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AB8B3B5"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lang w:val="en-US"/>
              </w:rPr>
              <w:t>Disagree</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14:paraId="2AD308B0" w14:textId="5CF2EBA5" w:rsidR="004472D6" w:rsidRPr="00B855E2" w:rsidRDefault="00654DAB" w:rsidP="00C16EB1">
            <w:pPr>
              <w:spacing w:line="240" w:lineRule="auto"/>
              <w:contextualSpacing/>
              <w:mirrorIndents/>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Strongly </w:t>
            </w:r>
            <w:r w:rsidR="004472D6" w:rsidRPr="00B855E2">
              <w:rPr>
                <w:rFonts w:ascii="Times New Roman" w:eastAsia="Times New Roman" w:hAnsi="Times New Roman" w:cs="Times New Roman"/>
                <w:color w:val="000000"/>
                <w:sz w:val="20"/>
                <w:szCs w:val="20"/>
                <w:lang w:val="en-US"/>
              </w:rPr>
              <w:t>Disagree</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14:paraId="7D010AEC"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lang w:val="en-US"/>
              </w:rPr>
              <w:t>Total (N)</w:t>
            </w:r>
          </w:p>
        </w:tc>
      </w:tr>
      <w:tr w:rsidR="00654DAB" w:rsidRPr="00B855E2" w14:paraId="1450AB2D" w14:textId="77777777" w:rsidTr="00564F8A">
        <w:trPr>
          <w:trHeight w:val="249"/>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63CD48C"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Question 1</w:t>
            </w:r>
          </w:p>
        </w:tc>
        <w:tc>
          <w:tcPr>
            <w:tcW w:w="1515" w:type="dxa"/>
            <w:tcBorders>
              <w:top w:val="nil"/>
              <w:left w:val="nil"/>
              <w:bottom w:val="single" w:sz="4" w:space="0" w:color="auto"/>
              <w:right w:val="single" w:sz="4" w:space="0" w:color="auto"/>
            </w:tcBorders>
            <w:shd w:val="clear" w:color="auto" w:fill="auto"/>
            <w:vAlign w:val="center"/>
            <w:hideMark/>
          </w:tcPr>
          <w:p w14:paraId="66B2AE83"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10 (47%)</w:t>
            </w:r>
          </w:p>
        </w:tc>
        <w:tc>
          <w:tcPr>
            <w:tcW w:w="908" w:type="dxa"/>
            <w:tcBorders>
              <w:top w:val="nil"/>
              <w:left w:val="nil"/>
              <w:bottom w:val="single" w:sz="4" w:space="0" w:color="auto"/>
              <w:right w:val="single" w:sz="4" w:space="0" w:color="auto"/>
            </w:tcBorders>
            <w:shd w:val="clear" w:color="auto" w:fill="auto"/>
            <w:vAlign w:val="center"/>
            <w:hideMark/>
          </w:tcPr>
          <w:p w14:paraId="6FDDC582"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9 (43%)</w:t>
            </w:r>
          </w:p>
        </w:tc>
        <w:tc>
          <w:tcPr>
            <w:tcW w:w="1711" w:type="dxa"/>
            <w:tcBorders>
              <w:top w:val="nil"/>
              <w:left w:val="nil"/>
              <w:bottom w:val="single" w:sz="4" w:space="0" w:color="auto"/>
              <w:right w:val="single" w:sz="4" w:space="0" w:color="auto"/>
            </w:tcBorders>
            <w:shd w:val="clear" w:color="auto" w:fill="auto"/>
            <w:vAlign w:val="center"/>
            <w:hideMark/>
          </w:tcPr>
          <w:p w14:paraId="29EEF7FA"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1 (5%)</w:t>
            </w:r>
          </w:p>
        </w:tc>
        <w:tc>
          <w:tcPr>
            <w:tcW w:w="956" w:type="dxa"/>
            <w:tcBorders>
              <w:top w:val="nil"/>
              <w:left w:val="nil"/>
              <w:bottom w:val="single" w:sz="4" w:space="0" w:color="auto"/>
              <w:right w:val="single" w:sz="4" w:space="0" w:color="auto"/>
            </w:tcBorders>
            <w:shd w:val="clear" w:color="auto" w:fill="auto"/>
            <w:vAlign w:val="center"/>
            <w:hideMark/>
          </w:tcPr>
          <w:p w14:paraId="4FABED17"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1 (5%)</w:t>
            </w:r>
          </w:p>
        </w:tc>
        <w:tc>
          <w:tcPr>
            <w:tcW w:w="1801" w:type="dxa"/>
            <w:tcBorders>
              <w:top w:val="nil"/>
              <w:left w:val="nil"/>
              <w:bottom w:val="single" w:sz="4" w:space="0" w:color="auto"/>
              <w:right w:val="single" w:sz="4" w:space="0" w:color="auto"/>
            </w:tcBorders>
            <w:shd w:val="clear" w:color="auto" w:fill="auto"/>
            <w:vAlign w:val="center"/>
            <w:hideMark/>
          </w:tcPr>
          <w:p w14:paraId="11B358D6"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0 (0%)</w:t>
            </w:r>
          </w:p>
        </w:tc>
        <w:tc>
          <w:tcPr>
            <w:tcW w:w="1121" w:type="dxa"/>
            <w:tcBorders>
              <w:top w:val="nil"/>
              <w:left w:val="nil"/>
              <w:bottom w:val="single" w:sz="4" w:space="0" w:color="auto"/>
              <w:right w:val="single" w:sz="4" w:space="0" w:color="auto"/>
            </w:tcBorders>
            <w:shd w:val="clear" w:color="auto" w:fill="auto"/>
            <w:vAlign w:val="center"/>
            <w:hideMark/>
          </w:tcPr>
          <w:p w14:paraId="2863B62D"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21 (100%)</w:t>
            </w:r>
          </w:p>
        </w:tc>
      </w:tr>
      <w:tr w:rsidR="00654DAB" w:rsidRPr="00B855E2" w14:paraId="0F4B4184" w14:textId="77777777" w:rsidTr="00564F8A">
        <w:trPr>
          <w:trHeight w:val="249"/>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75C3941E"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Question 2</w:t>
            </w:r>
          </w:p>
        </w:tc>
        <w:tc>
          <w:tcPr>
            <w:tcW w:w="1515" w:type="dxa"/>
            <w:tcBorders>
              <w:top w:val="nil"/>
              <w:left w:val="nil"/>
              <w:bottom w:val="single" w:sz="4" w:space="0" w:color="auto"/>
              <w:right w:val="single" w:sz="4" w:space="0" w:color="auto"/>
            </w:tcBorders>
            <w:shd w:val="clear" w:color="auto" w:fill="auto"/>
            <w:vAlign w:val="center"/>
            <w:hideMark/>
          </w:tcPr>
          <w:p w14:paraId="6B163AA2"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11 (52%)</w:t>
            </w:r>
          </w:p>
        </w:tc>
        <w:tc>
          <w:tcPr>
            <w:tcW w:w="908" w:type="dxa"/>
            <w:tcBorders>
              <w:top w:val="nil"/>
              <w:left w:val="nil"/>
              <w:bottom w:val="single" w:sz="4" w:space="0" w:color="auto"/>
              <w:right w:val="single" w:sz="4" w:space="0" w:color="auto"/>
            </w:tcBorders>
            <w:shd w:val="clear" w:color="auto" w:fill="auto"/>
            <w:vAlign w:val="center"/>
            <w:hideMark/>
          </w:tcPr>
          <w:p w14:paraId="4ED43CE1"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9 (43%)</w:t>
            </w:r>
          </w:p>
        </w:tc>
        <w:tc>
          <w:tcPr>
            <w:tcW w:w="1711" w:type="dxa"/>
            <w:tcBorders>
              <w:top w:val="nil"/>
              <w:left w:val="nil"/>
              <w:bottom w:val="single" w:sz="4" w:space="0" w:color="auto"/>
              <w:right w:val="single" w:sz="4" w:space="0" w:color="auto"/>
            </w:tcBorders>
            <w:shd w:val="clear" w:color="auto" w:fill="auto"/>
            <w:vAlign w:val="center"/>
            <w:hideMark/>
          </w:tcPr>
          <w:p w14:paraId="3F307076"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0 (0%)</w:t>
            </w:r>
          </w:p>
        </w:tc>
        <w:tc>
          <w:tcPr>
            <w:tcW w:w="956" w:type="dxa"/>
            <w:tcBorders>
              <w:top w:val="nil"/>
              <w:left w:val="nil"/>
              <w:bottom w:val="single" w:sz="4" w:space="0" w:color="auto"/>
              <w:right w:val="single" w:sz="4" w:space="0" w:color="auto"/>
            </w:tcBorders>
            <w:shd w:val="clear" w:color="auto" w:fill="auto"/>
            <w:vAlign w:val="center"/>
            <w:hideMark/>
          </w:tcPr>
          <w:p w14:paraId="405727D9"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0 (0%)</w:t>
            </w:r>
          </w:p>
        </w:tc>
        <w:tc>
          <w:tcPr>
            <w:tcW w:w="1801" w:type="dxa"/>
            <w:tcBorders>
              <w:top w:val="nil"/>
              <w:left w:val="nil"/>
              <w:bottom w:val="single" w:sz="4" w:space="0" w:color="auto"/>
              <w:right w:val="single" w:sz="4" w:space="0" w:color="auto"/>
            </w:tcBorders>
            <w:shd w:val="clear" w:color="auto" w:fill="auto"/>
            <w:vAlign w:val="center"/>
            <w:hideMark/>
          </w:tcPr>
          <w:p w14:paraId="6AA08686"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1 (5%)</w:t>
            </w:r>
          </w:p>
        </w:tc>
        <w:tc>
          <w:tcPr>
            <w:tcW w:w="1121" w:type="dxa"/>
            <w:tcBorders>
              <w:top w:val="nil"/>
              <w:left w:val="nil"/>
              <w:bottom w:val="single" w:sz="4" w:space="0" w:color="auto"/>
              <w:right w:val="single" w:sz="4" w:space="0" w:color="auto"/>
            </w:tcBorders>
            <w:shd w:val="clear" w:color="auto" w:fill="auto"/>
            <w:vAlign w:val="center"/>
            <w:hideMark/>
          </w:tcPr>
          <w:p w14:paraId="2B55A297"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21 (100%)</w:t>
            </w:r>
          </w:p>
        </w:tc>
      </w:tr>
      <w:tr w:rsidR="00654DAB" w:rsidRPr="00B855E2" w14:paraId="3EDD6C20" w14:textId="77777777" w:rsidTr="00564F8A">
        <w:trPr>
          <w:trHeight w:val="249"/>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551D2371"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Question 3</w:t>
            </w:r>
          </w:p>
        </w:tc>
        <w:tc>
          <w:tcPr>
            <w:tcW w:w="1515" w:type="dxa"/>
            <w:tcBorders>
              <w:top w:val="nil"/>
              <w:left w:val="nil"/>
              <w:bottom w:val="single" w:sz="4" w:space="0" w:color="auto"/>
              <w:right w:val="single" w:sz="4" w:space="0" w:color="auto"/>
            </w:tcBorders>
            <w:shd w:val="clear" w:color="auto" w:fill="auto"/>
            <w:vAlign w:val="center"/>
            <w:hideMark/>
          </w:tcPr>
          <w:p w14:paraId="59E5929F"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7 (33%)</w:t>
            </w:r>
          </w:p>
        </w:tc>
        <w:tc>
          <w:tcPr>
            <w:tcW w:w="908" w:type="dxa"/>
            <w:tcBorders>
              <w:top w:val="nil"/>
              <w:left w:val="nil"/>
              <w:bottom w:val="single" w:sz="4" w:space="0" w:color="auto"/>
              <w:right w:val="single" w:sz="4" w:space="0" w:color="auto"/>
            </w:tcBorders>
            <w:shd w:val="clear" w:color="auto" w:fill="auto"/>
            <w:vAlign w:val="center"/>
            <w:hideMark/>
          </w:tcPr>
          <w:p w14:paraId="5736BF2B"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8 (38%)</w:t>
            </w:r>
          </w:p>
        </w:tc>
        <w:tc>
          <w:tcPr>
            <w:tcW w:w="1711" w:type="dxa"/>
            <w:tcBorders>
              <w:top w:val="nil"/>
              <w:left w:val="nil"/>
              <w:bottom w:val="single" w:sz="4" w:space="0" w:color="auto"/>
              <w:right w:val="single" w:sz="4" w:space="0" w:color="auto"/>
            </w:tcBorders>
            <w:shd w:val="clear" w:color="auto" w:fill="auto"/>
            <w:vAlign w:val="center"/>
            <w:hideMark/>
          </w:tcPr>
          <w:p w14:paraId="6A50B38E"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5 (24%)</w:t>
            </w:r>
          </w:p>
        </w:tc>
        <w:tc>
          <w:tcPr>
            <w:tcW w:w="956" w:type="dxa"/>
            <w:tcBorders>
              <w:top w:val="nil"/>
              <w:left w:val="nil"/>
              <w:bottom w:val="single" w:sz="4" w:space="0" w:color="auto"/>
              <w:right w:val="single" w:sz="4" w:space="0" w:color="auto"/>
            </w:tcBorders>
            <w:shd w:val="clear" w:color="auto" w:fill="auto"/>
            <w:vAlign w:val="center"/>
            <w:hideMark/>
          </w:tcPr>
          <w:p w14:paraId="35052DBF"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1 (5%)</w:t>
            </w:r>
          </w:p>
        </w:tc>
        <w:tc>
          <w:tcPr>
            <w:tcW w:w="1801" w:type="dxa"/>
            <w:tcBorders>
              <w:top w:val="nil"/>
              <w:left w:val="nil"/>
              <w:bottom w:val="single" w:sz="4" w:space="0" w:color="auto"/>
              <w:right w:val="single" w:sz="4" w:space="0" w:color="auto"/>
            </w:tcBorders>
            <w:shd w:val="clear" w:color="auto" w:fill="auto"/>
            <w:vAlign w:val="center"/>
            <w:hideMark/>
          </w:tcPr>
          <w:p w14:paraId="22B8C617"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0 (0%)</w:t>
            </w:r>
          </w:p>
        </w:tc>
        <w:tc>
          <w:tcPr>
            <w:tcW w:w="1121" w:type="dxa"/>
            <w:tcBorders>
              <w:top w:val="nil"/>
              <w:left w:val="nil"/>
              <w:bottom w:val="single" w:sz="4" w:space="0" w:color="auto"/>
              <w:right w:val="single" w:sz="4" w:space="0" w:color="auto"/>
            </w:tcBorders>
            <w:shd w:val="clear" w:color="auto" w:fill="auto"/>
            <w:vAlign w:val="center"/>
            <w:hideMark/>
          </w:tcPr>
          <w:p w14:paraId="259421B2"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21 (100%)</w:t>
            </w:r>
          </w:p>
        </w:tc>
      </w:tr>
      <w:tr w:rsidR="00654DAB" w:rsidRPr="00B855E2" w14:paraId="03F03FA2" w14:textId="77777777" w:rsidTr="00564F8A">
        <w:trPr>
          <w:trHeight w:val="249"/>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4F89E5E2"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Question 4</w:t>
            </w:r>
          </w:p>
        </w:tc>
        <w:tc>
          <w:tcPr>
            <w:tcW w:w="1515" w:type="dxa"/>
            <w:tcBorders>
              <w:top w:val="nil"/>
              <w:left w:val="nil"/>
              <w:bottom w:val="single" w:sz="4" w:space="0" w:color="auto"/>
              <w:right w:val="single" w:sz="4" w:space="0" w:color="auto"/>
            </w:tcBorders>
            <w:shd w:val="clear" w:color="auto" w:fill="auto"/>
            <w:vAlign w:val="center"/>
            <w:hideMark/>
          </w:tcPr>
          <w:p w14:paraId="7844FC45"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8 (38%)</w:t>
            </w:r>
          </w:p>
        </w:tc>
        <w:tc>
          <w:tcPr>
            <w:tcW w:w="908" w:type="dxa"/>
            <w:tcBorders>
              <w:top w:val="nil"/>
              <w:left w:val="nil"/>
              <w:bottom w:val="single" w:sz="4" w:space="0" w:color="auto"/>
              <w:right w:val="single" w:sz="4" w:space="0" w:color="auto"/>
            </w:tcBorders>
            <w:shd w:val="clear" w:color="auto" w:fill="auto"/>
            <w:vAlign w:val="center"/>
            <w:hideMark/>
          </w:tcPr>
          <w:p w14:paraId="098ED5DC"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5 (24%)</w:t>
            </w:r>
          </w:p>
        </w:tc>
        <w:tc>
          <w:tcPr>
            <w:tcW w:w="1711" w:type="dxa"/>
            <w:tcBorders>
              <w:top w:val="nil"/>
              <w:left w:val="nil"/>
              <w:bottom w:val="single" w:sz="4" w:space="0" w:color="auto"/>
              <w:right w:val="single" w:sz="4" w:space="0" w:color="auto"/>
            </w:tcBorders>
            <w:shd w:val="clear" w:color="auto" w:fill="auto"/>
            <w:vAlign w:val="center"/>
            <w:hideMark/>
          </w:tcPr>
          <w:p w14:paraId="47AF16E3"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5 (24%)</w:t>
            </w:r>
          </w:p>
        </w:tc>
        <w:tc>
          <w:tcPr>
            <w:tcW w:w="956" w:type="dxa"/>
            <w:tcBorders>
              <w:top w:val="nil"/>
              <w:left w:val="nil"/>
              <w:bottom w:val="single" w:sz="4" w:space="0" w:color="auto"/>
              <w:right w:val="single" w:sz="4" w:space="0" w:color="auto"/>
            </w:tcBorders>
            <w:shd w:val="clear" w:color="auto" w:fill="auto"/>
            <w:vAlign w:val="center"/>
            <w:hideMark/>
          </w:tcPr>
          <w:p w14:paraId="230DE49F"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1 (5%)</w:t>
            </w:r>
          </w:p>
        </w:tc>
        <w:tc>
          <w:tcPr>
            <w:tcW w:w="1801" w:type="dxa"/>
            <w:tcBorders>
              <w:top w:val="nil"/>
              <w:left w:val="nil"/>
              <w:bottom w:val="single" w:sz="4" w:space="0" w:color="auto"/>
              <w:right w:val="single" w:sz="4" w:space="0" w:color="auto"/>
            </w:tcBorders>
            <w:shd w:val="clear" w:color="auto" w:fill="auto"/>
            <w:vAlign w:val="center"/>
            <w:hideMark/>
          </w:tcPr>
          <w:p w14:paraId="67087FA7"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0 (0%)</w:t>
            </w:r>
          </w:p>
        </w:tc>
        <w:tc>
          <w:tcPr>
            <w:tcW w:w="1121" w:type="dxa"/>
            <w:tcBorders>
              <w:top w:val="nil"/>
              <w:left w:val="nil"/>
              <w:bottom w:val="single" w:sz="4" w:space="0" w:color="auto"/>
              <w:right w:val="single" w:sz="4" w:space="0" w:color="auto"/>
            </w:tcBorders>
            <w:shd w:val="clear" w:color="auto" w:fill="auto"/>
            <w:vAlign w:val="center"/>
            <w:hideMark/>
          </w:tcPr>
          <w:p w14:paraId="4C1605FB"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19 (90%)</w:t>
            </w:r>
          </w:p>
        </w:tc>
      </w:tr>
      <w:tr w:rsidR="00654DAB" w:rsidRPr="00B855E2" w14:paraId="405E96D7" w14:textId="77777777" w:rsidTr="00564F8A">
        <w:trPr>
          <w:trHeight w:val="249"/>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32C5EE56"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Question 5</w:t>
            </w:r>
          </w:p>
        </w:tc>
        <w:tc>
          <w:tcPr>
            <w:tcW w:w="1515" w:type="dxa"/>
            <w:tcBorders>
              <w:top w:val="nil"/>
              <w:left w:val="nil"/>
              <w:bottom w:val="single" w:sz="4" w:space="0" w:color="auto"/>
              <w:right w:val="single" w:sz="4" w:space="0" w:color="auto"/>
            </w:tcBorders>
            <w:shd w:val="clear" w:color="auto" w:fill="auto"/>
            <w:vAlign w:val="center"/>
            <w:hideMark/>
          </w:tcPr>
          <w:p w14:paraId="6E5533D4"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7 (33%)</w:t>
            </w:r>
          </w:p>
        </w:tc>
        <w:tc>
          <w:tcPr>
            <w:tcW w:w="908" w:type="dxa"/>
            <w:tcBorders>
              <w:top w:val="nil"/>
              <w:left w:val="nil"/>
              <w:bottom w:val="single" w:sz="4" w:space="0" w:color="auto"/>
              <w:right w:val="single" w:sz="4" w:space="0" w:color="auto"/>
            </w:tcBorders>
            <w:shd w:val="clear" w:color="auto" w:fill="auto"/>
            <w:vAlign w:val="center"/>
            <w:hideMark/>
          </w:tcPr>
          <w:p w14:paraId="55B23D02"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5 (24%)</w:t>
            </w:r>
          </w:p>
        </w:tc>
        <w:tc>
          <w:tcPr>
            <w:tcW w:w="1711" w:type="dxa"/>
            <w:tcBorders>
              <w:top w:val="nil"/>
              <w:left w:val="nil"/>
              <w:bottom w:val="single" w:sz="4" w:space="0" w:color="auto"/>
              <w:right w:val="single" w:sz="4" w:space="0" w:color="auto"/>
            </w:tcBorders>
            <w:shd w:val="clear" w:color="auto" w:fill="auto"/>
            <w:vAlign w:val="center"/>
            <w:hideMark/>
          </w:tcPr>
          <w:p w14:paraId="31DB4C45"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4 (19%)</w:t>
            </w:r>
          </w:p>
        </w:tc>
        <w:tc>
          <w:tcPr>
            <w:tcW w:w="956" w:type="dxa"/>
            <w:tcBorders>
              <w:top w:val="nil"/>
              <w:left w:val="nil"/>
              <w:bottom w:val="single" w:sz="4" w:space="0" w:color="auto"/>
              <w:right w:val="single" w:sz="4" w:space="0" w:color="auto"/>
            </w:tcBorders>
            <w:shd w:val="clear" w:color="auto" w:fill="auto"/>
            <w:vAlign w:val="center"/>
            <w:hideMark/>
          </w:tcPr>
          <w:p w14:paraId="4509C50A"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3 (14%)</w:t>
            </w:r>
          </w:p>
        </w:tc>
        <w:tc>
          <w:tcPr>
            <w:tcW w:w="1801" w:type="dxa"/>
            <w:tcBorders>
              <w:top w:val="nil"/>
              <w:left w:val="nil"/>
              <w:bottom w:val="single" w:sz="4" w:space="0" w:color="auto"/>
              <w:right w:val="single" w:sz="4" w:space="0" w:color="auto"/>
            </w:tcBorders>
            <w:shd w:val="clear" w:color="auto" w:fill="auto"/>
            <w:vAlign w:val="center"/>
            <w:hideMark/>
          </w:tcPr>
          <w:p w14:paraId="22D8DF89"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0 (0%)</w:t>
            </w:r>
          </w:p>
        </w:tc>
        <w:tc>
          <w:tcPr>
            <w:tcW w:w="1121" w:type="dxa"/>
            <w:tcBorders>
              <w:top w:val="nil"/>
              <w:left w:val="nil"/>
              <w:bottom w:val="single" w:sz="4" w:space="0" w:color="auto"/>
              <w:right w:val="single" w:sz="4" w:space="0" w:color="auto"/>
            </w:tcBorders>
            <w:shd w:val="clear" w:color="auto" w:fill="auto"/>
            <w:vAlign w:val="center"/>
            <w:hideMark/>
          </w:tcPr>
          <w:p w14:paraId="75044882"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19 (90%)</w:t>
            </w:r>
          </w:p>
        </w:tc>
      </w:tr>
      <w:tr w:rsidR="00654DAB" w:rsidRPr="00B855E2" w14:paraId="3B6EF2BB" w14:textId="77777777" w:rsidTr="00564F8A">
        <w:trPr>
          <w:trHeight w:val="249"/>
          <w:jc w:val="center"/>
        </w:trPr>
        <w:tc>
          <w:tcPr>
            <w:tcW w:w="1100" w:type="dxa"/>
            <w:tcBorders>
              <w:top w:val="nil"/>
              <w:left w:val="single" w:sz="4" w:space="0" w:color="auto"/>
              <w:bottom w:val="single" w:sz="4" w:space="0" w:color="auto"/>
              <w:right w:val="single" w:sz="4" w:space="0" w:color="auto"/>
            </w:tcBorders>
            <w:shd w:val="clear" w:color="auto" w:fill="auto"/>
            <w:vAlign w:val="center"/>
            <w:hideMark/>
          </w:tcPr>
          <w:p w14:paraId="07CD9A70"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Question 6</w:t>
            </w:r>
          </w:p>
        </w:tc>
        <w:tc>
          <w:tcPr>
            <w:tcW w:w="1515" w:type="dxa"/>
            <w:tcBorders>
              <w:top w:val="nil"/>
              <w:left w:val="nil"/>
              <w:bottom w:val="single" w:sz="4" w:space="0" w:color="auto"/>
              <w:right w:val="single" w:sz="4" w:space="0" w:color="auto"/>
            </w:tcBorders>
            <w:shd w:val="clear" w:color="auto" w:fill="auto"/>
            <w:vAlign w:val="center"/>
            <w:hideMark/>
          </w:tcPr>
          <w:p w14:paraId="75AA767A"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12 (57%)</w:t>
            </w:r>
          </w:p>
        </w:tc>
        <w:tc>
          <w:tcPr>
            <w:tcW w:w="908" w:type="dxa"/>
            <w:tcBorders>
              <w:top w:val="nil"/>
              <w:left w:val="nil"/>
              <w:bottom w:val="single" w:sz="4" w:space="0" w:color="auto"/>
              <w:right w:val="single" w:sz="4" w:space="0" w:color="auto"/>
            </w:tcBorders>
            <w:shd w:val="clear" w:color="auto" w:fill="auto"/>
            <w:vAlign w:val="center"/>
            <w:hideMark/>
          </w:tcPr>
          <w:p w14:paraId="27902494"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5 (24%)</w:t>
            </w:r>
          </w:p>
        </w:tc>
        <w:tc>
          <w:tcPr>
            <w:tcW w:w="1711" w:type="dxa"/>
            <w:tcBorders>
              <w:top w:val="nil"/>
              <w:left w:val="nil"/>
              <w:bottom w:val="single" w:sz="4" w:space="0" w:color="auto"/>
              <w:right w:val="single" w:sz="4" w:space="0" w:color="auto"/>
            </w:tcBorders>
            <w:shd w:val="clear" w:color="auto" w:fill="auto"/>
            <w:vAlign w:val="center"/>
            <w:hideMark/>
          </w:tcPr>
          <w:p w14:paraId="5FD7F7CA"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1 (5%)</w:t>
            </w:r>
          </w:p>
        </w:tc>
        <w:tc>
          <w:tcPr>
            <w:tcW w:w="956" w:type="dxa"/>
            <w:tcBorders>
              <w:top w:val="nil"/>
              <w:left w:val="nil"/>
              <w:bottom w:val="single" w:sz="4" w:space="0" w:color="auto"/>
              <w:right w:val="single" w:sz="4" w:space="0" w:color="auto"/>
            </w:tcBorders>
            <w:shd w:val="clear" w:color="auto" w:fill="auto"/>
            <w:vAlign w:val="center"/>
            <w:hideMark/>
          </w:tcPr>
          <w:p w14:paraId="7B49D8CB"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0 (0%)</w:t>
            </w:r>
          </w:p>
        </w:tc>
        <w:tc>
          <w:tcPr>
            <w:tcW w:w="1801" w:type="dxa"/>
            <w:tcBorders>
              <w:top w:val="nil"/>
              <w:left w:val="nil"/>
              <w:bottom w:val="single" w:sz="4" w:space="0" w:color="auto"/>
              <w:right w:val="single" w:sz="4" w:space="0" w:color="auto"/>
            </w:tcBorders>
            <w:shd w:val="clear" w:color="auto" w:fill="auto"/>
            <w:vAlign w:val="center"/>
            <w:hideMark/>
          </w:tcPr>
          <w:p w14:paraId="5B0EF0D6"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0 (0%)</w:t>
            </w:r>
          </w:p>
        </w:tc>
        <w:tc>
          <w:tcPr>
            <w:tcW w:w="1121" w:type="dxa"/>
            <w:tcBorders>
              <w:top w:val="nil"/>
              <w:left w:val="nil"/>
              <w:bottom w:val="single" w:sz="4" w:space="0" w:color="auto"/>
              <w:right w:val="single" w:sz="4" w:space="0" w:color="auto"/>
            </w:tcBorders>
            <w:shd w:val="clear" w:color="auto" w:fill="auto"/>
            <w:vAlign w:val="center"/>
            <w:hideMark/>
          </w:tcPr>
          <w:p w14:paraId="673A1CC7" w14:textId="77777777" w:rsidR="004472D6" w:rsidRPr="00B855E2" w:rsidRDefault="004472D6" w:rsidP="00C16EB1">
            <w:pPr>
              <w:spacing w:line="240" w:lineRule="auto"/>
              <w:contextualSpacing/>
              <w:mirrorIndents/>
              <w:jc w:val="center"/>
              <w:rPr>
                <w:rFonts w:ascii="Times New Roman" w:eastAsia="Times New Roman" w:hAnsi="Times New Roman" w:cs="Times New Roman"/>
                <w:color w:val="000000"/>
                <w:sz w:val="20"/>
                <w:szCs w:val="20"/>
                <w:lang w:val="en-US"/>
              </w:rPr>
            </w:pPr>
            <w:r w:rsidRPr="00B855E2">
              <w:rPr>
                <w:rFonts w:ascii="Times New Roman" w:eastAsia="Times New Roman" w:hAnsi="Times New Roman" w:cs="Times New Roman"/>
                <w:color w:val="000000"/>
                <w:sz w:val="20"/>
                <w:szCs w:val="20"/>
              </w:rPr>
              <w:t>18 (86%)</w:t>
            </w:r>
          </w:p>
        </w:tc>
      </w:tr>
    </w:tbl>
    <w:p w14:paraId="4847381E"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5E348D02" w14:textId="10A1F0A0" w:rsidR="00B66469" w:rsidRDefault="00B66469" w:rsidP="009B55F0">
      <w:pPr>
        <w:spacing w:line="240" w:lineRule="auto"/>
        <w:contextualSpacing/>
        <w:mirrorIndents/>
        <w:jc w:val="center"/>
        <w:rPr>
          <w:rFonts w:ascii="Times New Roman" w:hAnsi="Times New Roman" w:cs="Times New Roman"/>
          <w:sz w:val="20"/>
          <w:szCs w:val="20"/>
        </w:rPr>
      </w:pPr>
      <w:r w:rsidRPr="00B855E2">
        <w:rPr>
          <w:rFonts w:ascii="Times New Roman" w:hAnsi="Times New Roman" w:cs="Times New Roman"/>
          <w:b/>
          <w:bCs/>
          <w:sz w:val="20"/>
          <w:szCs w:val="20"/>
        </w:rPr>
        <w:t>Table 1:</w:t>
      </w:r>
      <w:r w:rsidRPr="00B855E2">
        <w:rPr>
          <w:rFonts w:ascii="Times New Roman" w:hAnsi="Times New Roman" w:cs="Times New Roman"/>
          <w:sz w:val="20"/>
          <w:szCs w:val="20"/>
        </w:rPr>
        <w:t xml:space="preserve"> Summary of post-intervention survey results</w:t>
      </w:r>
      <w:r w:rsidR="0030351D">
        <w:rPr>
          <w:rFonts w:ascii="Times New Roman" w:hAnsi="Times New Roman" w:cs="Times New Roman"/>
          <w:sz w:val="20"/>
          <w:szCs w:val="20"/>
        </w:rPr>
        <w:t>.</w:t>
      </w:r>
    </w:p>
    <w:p w14:paraId="2F98EC70" w14:textId="77777777" w:rsidR="0030351D" w:rsidRPr="00B855E2" w:rsidRDefault="0030351D" w:rsidP="00B855E2">
      <w:pPr>
        <w:spacing w:line="240" w:lineRule="auto"/>
        <w:contextualSpacing/>
        <w:mirrorIndents/>
        <w:jc w:val="both"/>
        <w:rPr>
          <w:rFonts w:ascii="Times New Roman" w:hAnsi="Times New Roman" w:cs="Times New Roman"/>
          <w:sz w:val="20"/>
          <w:szCs w:val="20"/>
        </w:rPr>
      </w:pPr>
    </w:p>
    <w:p w14:paraId="6F40AD23" w14:textId="21126A5C"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A one-way ANOVA and a Chi-Square test were both used to analyze the data and it was determined that the number of years the participant has had T2DM did not significantly </w:t>
      </w:r>
      <w:proofErr w:type="gramStart"/>
      <w:r w:rsidRPr="00B855E2">
        <w:rPr>
          <w:rFonts w:ascii="Times New Roman" w:hAnsi="Times New Roman" w:cs="Times New Roman"/>
          <w:sz w:val="20"/>
          <w:szCs w:val="20"/>
        </w:rPr>
        <w:t>impact</w:t>
      </w:r>
      <w:proofErr w:type="gramEnd"/>
      <w:r w:rsidRPr="00B855E2">
        <w:rPr>
          <w:rFonts w:ascii="Times New Roman" w:hAnsi="Times New Roman" w:cs="Times New Roman"/>
          <w:sz w:val="20"/>
          <w:szCs w:val="20"/>
        </w:rPr>
        <w:t xml:space="preserve"> how they responded to the post-intervention survey.</w:t>
      </w:r>
    </w:p>
    <w:p w14:paraId="1F3F1A8B"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52E9FFAA"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4476D4">
        <w:rPr>
          <w:rFonts w:ascii="Times New Roman" w:hAnsi="Times New Roman" w:cs="Times New Roman"/>
          <w:b/>
          <w:bCs/>
          <w:szCs w:val="20"/>
        </w:rPr>
        <w:t>Discussion</w:t>
      </w:r>
    </w:p>
    <w:p w14:paraId="76020D4C"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47C51611" w14:textId="53F2CD23"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lastRenderedPageBreak/>
        <w:t xml:space="preserve">Pre-visit planning </w:t>
      </w:r>
      <w:proofErr w:type="gramStart"/>
      <w:r w:rsidRPr="00B855E2">
        <w:rPr>
          <w:rFonts w:ascii="Times New Roman" w:hAnsi="Times New Roman" w:cs="Times New Roman"/>
          <w:sz w:val="20"/>
          <w:szCs w:val="20"/>
        </w:rPr>
        <w:t>has been shown</w:t>
      </w:r>
      <w:proofErr w:type="gramEnd"/>
      <w:r w:rsidRPr="00B855E2">
        <w:rPr>
          <w:rFonts w:ascii="Times New Roman" w:hAnsi="Times New Roman" w:cs="Times New Roman"/>
          <w:sz w:val="20"/>
          <w:szCs w:val="20"/>
        </w:rPr>
        <w:t xml:space="preserve"> through multiple studies to be an effective intervention for improving patients’ care. These studies have shown improvement in patient engagement with their healthcare, the costs related to patient care, and time management related to appointments </w:t>
      </w:r>
      <w:r w:rsidR="00F123CA" w:rsidRPr="00B855E2">
        <w:rPr>
          <w:rFonts w:ascii="Times New Roman" w:hAnsi="Times New Roman" w:cs="Times New Roman"/>
          <w:color w:val="FF0000"/>
          <w:sz w:val="20"/>
          <w:szCs w:val="20"/>
        </w:rPr>
        <w:t>[10</w:t>
      </w:r>
      <w:proofErr w:type="gramStart"/>
      <w:r w:rsidR="00970C5B" w:rsidRPr="00B855E2">
        <w:rPr>
          <w:rFonts w:ascii="Times New Roman" w:hAnsi="Times New Roman" w:cs="Times New Roman"/>
          <w:color w:val="FF0000"/>
          <w:sz w:val="20"/>
          <w:szCs w:val="20"/>
        </w:rPr>
        <w:t>,11</w:t>
      </w:r>
      <w:r w:rsidR="00F4630B" w:rsidRPr="00B855E2">
        <w:rPr>
          <w:rFonts w:ascii="Times New Roman" w:hAnsi="Times New Roman" w:cs="Times New Roman"/>
          <w:color w:val="FF0000"/>
          <w:sz w:val="20"/>
          <w:szCs w:val="20"/>
        </w:rPr>
        <w:t>,13</w:t>
      </w:r>
      <w:proofErr w:type="gramEnd"/>
      <w:r w:rsidR="00F4630B" w:rsidRPr="00B855E2">
        <w:rPr>
          <w:rFonts w:ascii="Times New Roman" w:hAnsi="Times New Roman" w:cs="Times New Roman"/>
          <w:color w:val="FF0000"/>
          <w:sz w:val="20"/>
          <w:szCs w:val="20"/>
        </w:rPr>
        <w:t>]</w:t>
      </w:r>
      <w:r w:rsidRPr="00B855E2">
        <w:rPr>
          <w:rFonts w:ascii="Times New Roman" w:hAnsi="Times New Roman" w:cs="Times New Roman"/>
          <w:sz w:val="20"/>
          <w:szCs w:val="20"/>
        </w:rPr>
        <w:t>. As the EAFP does not currently have practice-wide pre-visit planning interventions for their patients, implementing such an intervention could be beneficial to improving the care of their patients with T2DM. This study’s pre-visit planning intervention utilizing the AAFP Diabetes Assessment Form was a helpful exercise to gain more information regarding pre-visit planning for this population.</w:t>
      </w:r>
    </w:p>
    <w:p w14:paraId="6EEC74F2"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004F61E7"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Patients indicated that they had sufficient time to complete the study intervention and that the survey was easy to complete with over 90% agreeing or strongly agreeing to those statements. This shows that the AAFP Diabetes Assessment Form is appropriate for use in pre-visit planning from an ease-of-use perspective. Despite the patient’s positive reports for completing the tool itself, the greatest variation in survey responses </w:t>
      </w:r>
      <w:proofErr w:type="gramStart"/>
      <w:r w:rsidRPr="00B855E2">
        <w:rPr>
          <w:rFonts w:ascii="Times New Roman" w:hAnsi="Times New Roman" w:cs="Times New Roman"/>
          <w:sz w:val="20"/>
          <w:szCs w:val="20"/>
        </w:rPr>
        <w:t>was noted</w:t>
      </w:r>
      <w:proofErr w:type="gramEnd"/>
      <w:r w:rsidRPr="00B855E2">
        <w:rPr>
          <w:rFonts w:ascii="Times New Roman" w:hAnsi="Times New Roman" w:cs="Times New Roman"/>
          <w:sz w:val="20"/>
          <w:szCs w:val="20"/>
        </w:rPr>
        <w:t xml:space="preserve"> to the question regarding whether it would be helpful to use the AAFP Diabetes Assessment Form for future appointments. Only 33% of patients strongly agreed, 24% agreed, and 33% undecided or disagreed. This spread in responses does not positively support the future use of this tool from the patients’ perspective. Further studies with larger sample sizes, as well as utilizing other available pre-visit planning tools for patients with T2DM or even the creation of a new tool that may be better suited for pre-visit planning would be of benefit to increase patients’ satisfaction with the intervention and continued interest in participating in pre-visit planning activities. </w:t>
      </w:r>
    </w:p>
    <w:p w14:paraId="006B834F"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37991D81" w14:textId="216FD60D"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Patient-centered care was an appropriate theoretical framework for this intervention as the basis of PCC is that the whole person </w:t>
      </w:r>
      <w:proofErr w:type="gramStart"/>
      <w:r w:rsidRPr="00B855E2">
        <w:rPr>
          <w:rFonts w:ascii="Times New Roman" w:hAnsi="Times New Roman" w:cs="Times New Roman"/>
          <w:sz w:val="20"/>
          <w:szCs w:val="20"/>
        </w:rPr>
        <w:t>is considered</w:t>
      </w:r>
      <w:proofErr w:type="gramEnd"/>
      <w:r w:rsidRPr="00B855E2">
        <w:rPr>
          <w:rFonts w:ascii="Times New Roman" w:hAnsi="Times New Roman" w:cs="Times New Roman"/>
          <w:sz w:val="20"/>
          <w:szCs w:val="20"/>
        </w:rPr>
        <w:t xml:space="preserve"> when providing care (IOM, 2001). The use of this pre-visit planning tool provided the providers with a much fuller understanding of the patient including their, understanding of T2DM, readiness for change, current lifestyle habits, current diabetic care, interventions, and health care </w:t>
      </w:r>
      <w:r w:rsidR="002176FC" w:rsidRPr="00B855E2">
        <w:rPr>
          <w:rFonts w:ascii="Times New Roman" w:hAnsi="Times New Roman" w:cs="Times New Roman"/>
          <w:color w:val="FF0000"/>
          <w:sz w:val="20"/>
          <w:szCs w:val="20"/>
        </w:rPr>
        <w:t>[3]</w:t>
      </w:r>
      <w:r w:rsidRPr="00B855E2">
        <w:rPr>
          <w:rFonts w:ascii="Times New Roman" w:hAnsi="Times New Roman" w:cs="Times New Roman"/>
          <w:sz w:val="20"/>
          <w:szCs w:val="20"/>
        </w:rPr>
        <w:t xml:space="preserve">. Having all of this information present at the beginning of the appointment gives the provider a better understanding of where the patient is coming from so that their interventions </w:t>
      </w:r>
      <w:proofErr w:type="gramStart"/>
      <w:r w:rsidRPr="00B855E2">
        <w:rPr>
          <w:rFonts w:ascii="Times New Roman" w:hAnsi="Times New Roman" w:cs="Times New Roman"/>
          <w:sz w:val="20"/>
          <w:szCs w:val="20"/>
        </w:rPr>
        <w:t>will be geared</w:t>
      </w:r>
      <w:proofErr w:type="gramEnd"/>
      <w:r w:rsidRPr="00B855E2">
        <w:rPr>
          <w:rFonts w:ascii="Times New Roman" w:hAnsi="Times New Roman" w:cs="Times New Roman"/>
          <w:sz w:val="20"/>
          <w:szCs w:val="20"/>
        </w:rPr>
        <w:t xml:space="preserve"> toward that patient and their situation. As stated above, to ensure quality care for a patient, care must be patient-centered, and using a pre-visit planning intervention can contribute to that outcome (IOM, 2001).</w:t>
      </w:r>
    </w:p>
    <w:p w14:paraId="080DC1BC"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12CDF642"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B855E2">
        <w:rPr>
          <w:rFonts w:ascii="Times New Roman" w:hAnsi="Times New Roman" w:cs="Times New Roman"/>
          <w:b/>
          <w:bCs/>
          <w:sz w:val="20"/>
          <w:szCs w:val="20"/>
        </w:rPr>
        <w:t>Project Strengths and Limitations</w:t>
      </w:r>
    </w:p>
    <w:p w14:paraId="026CF4DB"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28FA35D9"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Various strengths and limitations are present in this study aimed at improving the care of patients with T2DM through implementing a pre-visit planning intervention. A strength of this study is that both the design of the study and choice of pre-visit planning tool </w:t>
      </w:r>
      <w:proofErr w:type="gramStart"/>
      <w:r w:rsidRPr="00B855E2">
        <w:rPr>
          <w:rFonts w:ascii="Times New Roman" w:hAnsi="Times New Roman" w:cs="Times New Roman"/>
          <w:sz w:val="20"/>
          <w:szCs w:val="20"/>
        </w:rPr>
        <w:t>were chosen</w:t>
      </w:r>
      <w:proofErr w:type="gramEnd"/>
      <w:r w:rsidRPr="00B855E2">
        <w:rPr>
          <w:rFonts w:ascii="Times New Roman" w:hAnsi="Times New Roman" w:cs="Times New Roman"/>
          <w:sz w:val="20"/>
          <w:szCs w:val="20"/>
        </w:rPr>
        <w:t xml:space="preserve"> intentionally to minimize the effort and involvement needed from patients with the goal of increased ease of patient participation and engagement. With these efforts, there was a 23% response rate for the study.</w:t>
      </w:r>
    </w:p>
    <w:p w14:paraId="21F099D5"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08F61BC0" w14:textId="78268EBA" w:rsidR="00E87F8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One limitation of this study was the small sample size as only 21 completed post-intervention surveys </w:t>
      </w:r>
      <w:proofErr w:type="gramStart"/>
      <w:r w:rsidRPr="00B855E2">
        <w:rPr>
          <w:rFonts w:ascii="Times New Roman" w:hAnsi="Times New Roman" w:cs="Times New Roman"/>
          <w:sz w:val="20"/>
          <w:szCs w:val="20"/>
        </w:rPr>
        <w:t>were received</w:t>
      </w:r>
      <w:proofErr w:type="gramEnd"/>
      <w:r w:rsidRPr="00B855E2">
        <w:rPr>
          <w:rFonts w:ascii="Times New Roman" w:hAnsi="Times New Roman" w:cs="Times New Roman"/>
          <w:sz w:val="20"/>
          <w:szCs w:val="20"/>
        </w:rPr>
        <w:t xml:space="preserve">. This smaller sample size limits the interpretation and generalizability of the results. A lack of specificity in the post-intervention survey questions also limited the interpretation of the results. For example, the final question related to satisfaction with their appointment did not specify satisfaction with their appointment </w:t>
      </w:r>
      <w:proofErr w:type="gramStart"/>
      <w:r w:rsidRPr="00B855E2">
        <w:rPr>
          <w:rFonts w:ascii="Times New Roman" w:hAnsi="Times New Roman" w:cs="Times New Roman"/>
          <w:sz w:val="20"/>
          <w:szCs w:val="20"/>
        </w:rPr>
        <w:t>as a result</w:t>
      </w:r>
      <w:proofErr w:type="gramEnd"/>
      <w:r w:rsidRPr="00B855E2">
        <w:rPr>
          <w:rFonts w:ascii="Times New Roman" w:hAnsi="Times New Roman" w:cs="Times New Roman"/>
          <w:sz w:val="20"/>
          <w:szCs w:val="20"/>
        </w:rPr>
        <w:t xml:space="preserve"> of the study intervention, and thus, it does not provide as much information as could otherwise have been gleaned from the survey. The lack of input from the providers in this intervention also limited the amount of information that </w:t>
      </w:r>
      <w:proofErr w:type="gramStart"/>
      <w:r w:rsidRPr="00B855E2">
        <w:rPr>
          <w:rFonts w:ascii="Times New Roman" w:hAnsi="Times New Roman" w:cs="Times New Roman"/>
          <w:sz w:val="20"/>
          <w:szCs w:val="20"/>
        </w:rPr>
        <w:t>was gained</w:t>
      </w:r>
      <w:proofErr w:type="gramEnd"/>
      <w:r w:rsidRPr="00B855E2">
        <w:rPr>
          <w:rFonts w:ascii="Times New Roman" w:hAnsi="Times New Roman" w:cs="Times New Roman"/>
          <w:sz w:val="20"/>
          <w:szCs w:val="20"/>
        </w:rPr>
        <w:t xml:space="preserve"> from this project. Including the opportunity for providers to provide input, possibly with open-ended questions for those completing the visits with the T2DM patients, could have provided additional data and resulted in a greater depth of understanding of the effectiveness of the interventions and aided in directing future interventions.</w:t>
      </w:r>
    </w:p>
    <w:p w14:paraId="7A3E624A" w14:textId="77777777" w:rsidR="00CF77E6" w:rsidRPr="00B855E2" w:rsidRDefault="00CF77E6" w:rsidP="00B855E2">
      <w:pPr>
        <w:spacing w:line="240" w:lineRule="auto"/>
        <w:contextualSpacing/>
        <w:mirrorIndents/>
        <w:jc w:val="both"/>
        <w:rPr>
          <w:rFonts w:ascii="Times New Roman" w:hAnsi="Times New Roman" w:cs="Times New Roman"/>
          <w:sz w:val="20"/>
          <w:szCs w:val="20"/>
        </w:rPr>
      </w:pPr>
    </w:p>
    <w:p w14:paraId="64934693"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1A4AE6">
        <w:rPr>
          <w:rFonts w:ascii="Times New Roman" w:hAnsi="Times New Roman" w:cs="Times New Roman"/>
          <w:b/>
          <w:bCs/>
          <w:szCs w:val="20"/>
        </w:rPr>
        <w:t>Future Implications and Recommendations</w:t>
      </w:r>
    </w:p>
    <w:p w14:paraId="01076D97"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1503FAD2"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Both the literature review and the results of this study’s intervention show very positive responses to and results from pre-visit planning. Due to the complexity of the disease of T2DM and its management, these patients could significantly benefit from the pre-visit planning interventions. Benefits from pre-visit planning as described above include increased patient engagement, cost benefits, and improved time </w:t>
      </w:r>
      <w:proofErr w:type="gramStart"/>
      <w:r w:rsidRPr="00B855E2">
        <w:rPr>
          <w:rFonts w:ascii="Times New Roman" w:hAnsi="Times New Roman" w:cs="Times New Roman"/>
          <w:sz w:val="20"/>
          <w:szCs w:val="20"/>
        </w:rPr>
        <w:t>management which could all be</w:t>
      </w:r>
      <w:proofErr w:type="gramEnd"/>
      <w:r w:rsidRPr="00B855E2">
        <w:rPr>
          <w:rFonts w:ascii="Times New Roman" w:hAnsi="Times New Roman" w:cs="Times New Roman"/>
          <w:sz w:val="20"/>
          <w:szCs w:val="20"/>
        </w:rPr>
        <w:t xml:space="preserve"> advantages to patients with T2DM. While it </w:t>
      </w:r>
      <w:proofErr w:type="gramStart"/>
      <w:r w:rsidRPr="00B855E2">
        <w:rPr>
          <w:rFonts w:ascii="Times New Roman" w:hAnsi="Times New Roman" w:cs="Times New Roman"/>
          <w:sz w:val="20"/>
          <w:szCs w:val="20"/>
        </w:rPr>
        <w:t>is recommended</w:t>
      </w:r>
      <w:proofErr w:type="gramEnd"/>
      <w:r w:rsidRPr="00B855E2">
        <w:rPr>
          <w:rFonts w:ascii="Times New Roman" w:hAnsi="Times New Roman" w:cs="Times New Roman"/>
          <w:sz w:val="20"/>
          <w:szCs w:val="20"/>
        </w:rPr>
        <w:t xml:space="preserve">, based on both a review of the literature and the data from this study, to utilize pre-visit planning interventions for patients with T2DM, further studies should be directed towards the identification or development of an effective pre-visit planning tool for the T2DM population. </w:t>
      </w:r>
    </w:p>
    <w:p w14:paraId="54BA1046"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010F2570" w14:textId="77777777" w:rsidR="00E87F82" w:rsidRPr="00B855E2" w:rsidRDefault="00E87F82" w:rsidP="00B855E2">
      <w:pPr>
        <w:spacing w:line="240" w:lineRule="auto"/>
        <w:contextualSpacing/>
        <w:mirrorIndents/>
        <w:jc w:val="both"/>
        <w:rPr>
          <w:rFonts w:ascii="Times New Roman" w:hAnsi="Times New Roman" w:cs="Times New Roman"/>
          <w:b/>
          <w:bCs/>
          <w:sz w:val="20"/>
          <w:szCs w:val="20"/>
        </w:rPr>
      </w:pPr>
      <w:r w:rsidRPr="0024573D">
        <w:rPr>
          <w:rFonts w:ascii="Times New Roman" w:hAnsi="Times New Roman" w:cs="Times New Roman"/>
          <w:b/>
          <w:bCs/>
          <w:szCs w:val="20"/>
        </w:rPr>
        <w:lastRenderedPageBreak/>
        <w:t>Conclusion</w:t>
      </w:r>
    </w:p>
    <w:p w14:paraId="3D1BE6F2" w14:textId="77777777" w:rsidR="00E87F82" w:rsidRPr="00B855E2" w:rsidRDefault="00E87F82" w:rsidP="00B855E2">
      <w:pPr>
        <w:spacing w:line="240" w:lineRule="auto"/>
        <w:contextualSpacing/>
        <w:mirrorIndents/>
        <w:jc w:val="both"/>
        <w:rPr>
          <w:rFonts w:ascii="Times New Roman" w:hAnsi="Times New Roman" w:cs="Times New Roman"/>
          <w:sz w:val="20"/>
          <w:szCs w:val="20"/>
        </w:rPr>
      </w:pPr>
    </w:p>
    <w:p w14:paraId="560E249F" w14:textId="26689D54" w:rsidR="00894748" w:rsidRDefault="00E87F82" w:rsidP="00B855E2">
      <w:pPr>
        <w:spacing w:line="240" w:lineRule="auto"/>
        <w:contextualSpacing/>
        <w:mirrorIndents/>
        <w:jc w:val="both"/>
        <w:rPr>
          <w:rFonts w:ascii="Times New Roman" w:hAnsi="Times New Roman" w:cs="Times New Roman"/>
          <w:sz w:val="20"/>
          <w:szCs w:val="20"/>
        </w:rPr>
      </w:pPr>
      <w:r w:rsidRPr="00B855E2">
        <w:rPr>
          <w:rFonts w:ascii="Times New Roman" w:hAnsi="Times New Roman" w:cs="Times New Roman"/>
          <w:sz w:val="20"/>
          <w:szCs w:val="20"/>
        </w:rPr>
        <w:t xml:space="preserve">Type two diabetes is a disease that can cause significant morbidity and mortality and requires complex management </w:t>
      </w:r>
      <w:r w:rsidR="00555393" w:rsidRPr="00B855E2">
        <w:rPr>
          <w:rFonts w:ascii="Times New Roman" w:hAnsi="Times New Roman" w:cs="Times New Roman"/>
          <w:color w:val="FF0000"/>
          <w:sz w:val="20"/>
          <w:szCs w:val="20"/>
        </w:rPr>
        <w:t>[2]</w:t>
      </w:r>
      <w:r w:rsidRPr="00B855E2">
        <w:rPr>
          <w:rFonts w:ascii="Times New Roman" w:hAnsi="Times New Roman" w:cs="Times New Roman"/>
          <w:sz w:val="20"/>
          <w:szCs w:val="20"/>
        </w:rPr>
        <w:t xml:space="preserve">. Patient-centered care as a framework </w:t>
      </w:r>
      <w:proofErr w:type="gramStart"/>
      <w:r w:rsidRPr="00B855E2">
        <w:rPr>
          <w:rFonts w:ascii="Times New Roman" w:hAnsi="Times New Roman" w:cs="Times New Roman"/>
          <w:sz w:val="20"/>
          <w:szCs w:val="20"/>
        </w:rPr>
        <w:t>can be used</w:t>
      </w:r>
      <w:proofErr w:type="gramEnd"/>
      <w:r w:rsidRPr="00B855E2">
        <w:rPr>
          <w:rFonts w:ascii="Times New Roman" w:hAnsi="Times New Roman" w:cs="Times New Roman"/>
          <w:sz w:val="20"/>
          <w:szCs w:val="20"/>
        </w:rPr>
        <w:t xml:space="preserve"> to improve the management of patients with type two diabetes by implementing pre-visit planning. A review of the literature found three main themes related to pre-visit planning; patient engagement, the cost benefits associated with pre-visit planning, and how pre-visit planning can </w:t>
      </w:r>
      <w:proofErr w:type="gramStart"/>
      <w:r w:rsidRPr="00B855E2">
        <w:rPr>
          <w:rFonts w:ascii="Times New Roman" w:hAnsi="Times New Roman" w:cs="Times New Roman"/>
          <w:sz w:val="20"/>
          <w:szCs w:val="20"/>
        </w:rPr>
        <w:t>impact</w:t>
      </w:r>
      <w:proofErr w:type="gramEnd"/>
      <w:r w:rsidRPr="00B855E2">
        <w:rPr>
          <w:rFonts w:ascii="Times New Roman" w:hAnsi="Times New Roman" w:cs="Times New Roman"/>
          <w:sz w:val="20"/>
          <w:szCs w:val="20"/>
        </w:rPr>
        <w:t xml:space="preserve"> time management. While the benefits of pre-visit planning </w:t>
      </w:r>
      <w:proofErr w:type="gramStart"/>
      <w:r w:rsidRPr="00B855E2">
        <w:rPr>
          <w:rFonts w:ascii="Times New Roman" w:hAnsi="Times New Roman" w:cs="Times New Roman"/>
          <w:sz w:val="20"/>
          <w:szCs w:val="20"/>
        </w:rPr>
        <w:t>have been shown</w:t>
      </w:r>
      <w:proofErr w:type="gramEnd"/>
      <w:r w:rsidRPr="00B855E2">
        <w:rPr>
          <w:rFonts w:ascii="Times New Roman" w:hAnsi="Times New Roman" w:cs="Times New Roman"/>
          <w:sz w:val="20"/>
          <w:szCs w:val="20"/>
        </w:rPr>
        <w:t xml:space="preserve"> in various settings, the EAFP does not currently implement routine pre-visit planning. The AAFP Diabetes Assessment Form </w:t>
      </w:r>
      <w:proofErr w:type="gramStart"/>
      <w:r w:rsidRPr="00B855E2">
        <w:rPr>
          <w:rFonts w:ascii="Times New Roman" w:hAnsi="Times New Roman" w:cs="Times New Roman"/>
          <w:sz w:val="20"/>
          <w:szCs w:val="20"/>
        </w:rPr>
        <w:t>was used</w:t>
      </w:r>
      <w:proofErr w:type="gramEnd"/>
      <w:r w:rsidRPr="00B855E2">
        <w:rPr>
          <w:rFonts w:ascii="Times New Roman" w:hAnsi="Times New Roman" w:cs="Times New Roman"/>
          <w:sz w:val="20"/>
          <w:szCs w:val="20"/>
        </w:rPr>
        <w:t xml:space="preserve"> in this intervention for pre-visit planning with overall positive responses from patients. The post-intervention surveys did not however support the continued use of this tool for pre-visit planning in future appointments. Following the collection and analysis of the data, these findings </w:t>
      </w:r>
      <w:proofErr w:type="gramStart"/>
      <w:r w:rsidRPr="00B855E2">
        <w:rPr>
          <w:rFonts w:ascii="Times New Roman" w:hAnsi="Times New Roman" w:cs="Times New Roman"/>
          <w:sz w:val="20"/>
          <w:szCs w:val="20"/>
        </w:rPr>
        <w:t>were compiled and presented to the providers of the East Aurora Family Practice in the form of a printed letter for their review</w:t>
      </w:r>
      <w:proofErr w:type="gramEnd"/>
      <w:r w:rsidRPr="00B855E2">
        <w:rPr>
          <w:rFonts w:ascii="Times New Roman" w:hAnsi="Times New Roman" w:cs="Times New Roman"/>
          <w:sz w:val="20"/>
          <w:szCs w:val="20"/>
        </w:rPr>
        <w:t xml:space="preserve">. Based on the results of the literature </w:t>
      </w:r>
      <w:proofErr w:type="gramStart"/>
      <w:r w:rsidRPr="00B855E2">
        <w:rPr>
          <w:rFonts w:ascii="Times New Roman" w:hAnsi="Times New Roman" w:cs="Times New Roman"/>
          <w:sz w:val="20"/>
          <w:szCs w:val="20"/>
        </w:rPr>
        <w:t>review,</w:t>
      </w:r>
      <w:proofErr w:type="gramEnd"/>
      <w:r w:rsidRPr="00B855E2">
        <w:rPr>
          <w:rFonts w:ascii="Times New Roman" w:hAnsi="Times New Roman" w:cs="Times New Roman"/>
          <w:sz w:val="20"/>
          <w:szCs w:val="20"/>
        </w:rPr>
        <w:t xml:space="preserve"> and the data from this study, there is a positive reception from T2DM patients to pre-visit planning, and there is a need for continued efforts to identify effective interventions for pre-visit p</w:t>
      </w:r>
      <w:r w:rsidR="0089782A">
        <w:rPr>
          <w:rFonts w:ascii="Times New Roman" w:hAnsi="Times New Roman" w:cs="Times New Roman"/>
          <w:sz w:val="20"/>
          <w:szCs w:val="20"/>
        </w:rPr>
        <w:t>lanning for patients with T2DM.</w:t>
      </w:r>
    </w:p>
    <w:p w14:paraId="166870F7" w14:textId="77777777" w:rsidR="0089782A" w:rsidRPr="00B855E2" w:rsidRDefault="0089782A" w:rsidP="00B855E2">
      <w:pPr>
        <w:spacing w:line="240" w:lineRule="auto"/>
        <w:contextualSpacing/>
        <w:mirrorIndents/>
        <w:jc w:val="both"/>
        <w:rPr>
          <w:rFonts w:ascii="Times New Roman" w:hAnsi="Times New Roman" w:cs="Times New Roman"/>
          <w:sz w:val="20"/>
          <w:szCs w:val="20"/>
        </w:rPr>
      </w:pPr>
    </w:p>
    <w:p w14:paraId="725B7B63" w14:textId="77777777" w:rsidR="00E87F82" w:rsidRPr="00B855E2" w:rsidRDefault="00E87F82" w:rsidP="006515E3">
      <w:pPr>
        <w:spacing w:line="240" w:lineRule="auto"/>
        <w:contextualSpacing/>
        <w:mirrorIndents/>
        <w:jc w:val="center"/>
        <w:rPr>
          <w:rFonts w:ascii="Times New Roman" w:hAnsi="Times New Roman" w:cs="Times New Roman"/>
          <w:b/>
          <w:bCs/>
          <w:sz w:val="20"/>
          <w:szCs w:val="20"/>
        </w:rPr>
      </w:pPr>
      <w:r w:rsidRPr="00181125">
        <w:rPr>
          <w:rFonts w:ascii="Times New Roman" w:hAnsi="Times New Roman" w:cs="Times New Roman"/>
          <w:b/>
          <w:bCs/>
          <w:szCs w:val="20"/>
        </w:rPr>
        <w:t>References</w:t>
      </w:r>
    </w:p>
    <w:p w14:paraId="2CBF2994" w14:textId="65725ECE" w:rsidR="00E87F82" w:rsidRPr="00B855E2" w:rsidRDefault="00E87F82" w:rsidP="00FF3045">
      <w:pPr>
        <w:spacing w:line="240" w:lineRule="auto"/>
        <w:contextualSpacing/>
        <w:mirrorIndents/>
        <w:jc w:val="both"/>
        <w:rPr>
          <w:rFonts w:ascii="Times New Roman" w:hAnsi="Times New Roman" w:cs="Times New Roman"/>
          <w:sz w:val="20"/>
          <w:szCs w:val="20"/>
        </w:rPr>
      </w:pPr>
    </w:p>
    <w:p w14:paraId="58CDC992"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8" w:history="1">
        <w:r w:rsidR="00FA104E" w:rsidRPr="000114A1">
          <w:rPr>
            <w:rStyle w:val="Hyperlink"/>
            <w:rFonts w:ascii="Times New Roman" w:hAnsi="Times New Roman" w:cs="Times New Roman"/>
            <w:sz w:val="20"/>
            <w:szCs w:val="20"/>
            <w:u w:val="none"/>
          </w:rPr>
          <w:t>World Health Organization (2021) Diabetes.</w:t>
        </w:r>
      </w:hyperlink>
      <w:r w:rsidR="00FA104E" w:rsidRPr="000114A1">
        <w:rPr>
          <w:rFonts w:ascii="Times New Roman" w:hAnsi="Times New Roman" w:cs="Times New Roman"/>
          <w:sz w:val="20"/>
          <w:szCs w:val="20"/>
        </w:rPr>
        <w:t xml:space="preserve"> </w:t>
      </w:r>
    </w:p>
    <w:p w14:paraId="69BABF80" w14:textId="2050D534"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9" w:history="1">
        <w:r w:rsidR="00FA104E" w:rsidRPr="000114A1">
          <w:rPr>
            <w:rStyle w:val="Hyperlink"/>
            <w:rFonts w:ascii="Times New Roman" w:hAnsi="Times New Roman" w:cs="Times New Roman"/>
            <w:sz w:val="20"/>
            <w:szCs w:val="20"/>
            <w:u w:val="none"/>
          </w:rPr>
          <w:t xml:space="preserve">Bullard KM, Cowie CC, </w:t>
        </w:r>
        <w:proofErr w:type="spellStart"/>
        <w:r w:rsidR="00FA104E" w:rsidRPr="000114A1">
          <w:rPr>
            <w:rStyle w:val="Hyperlink"/>
            <w:rFonts w:ascii="Times New Roman" w:hAnsi="Times New Roman" w:cs="Times New Roman"/>
            <w:sz w:val="20"/>
            <w:szCs w:val="20"/>
            <w:u w:val="none"/>
          </w:rPr>
          <w:t>Lessem</w:t>
        </w:r>
        <w:proofErr w:type="spellEnd"/>
        <w:r w:rsidR="00FA104E" w:rsidRPr="000114A1">
          <w:rPr>
            <w:rStyle w:val="Hyperlink"/>
            <w:rFonts w:ascii="Times New Roman" w:hAnsi="Times New Roman" w:cs="Times New Roman"/>
            <w:sz w:val="20"/>
            <w:szCs w:val="20"/>
            <w:u w:val="none"/>
          </w:rPr>
          <w:t xml:space="preserve"> SE, et al. (2018) Prevalence of diagnosed diabetes in adults by diabetes type - United</w:t>
        </w:r>
        <w:r w:rsidR="003614A5" w:rsidRPr="000114A1">
          <w:rPr>
            <w:rStyle w:val="Hyperlink"/>
            <w:rFonts w:ascii="Times New Roman" w:hAnsi="Times New Roman" w:cs="Times New Roman"/>
            <w:sz w:val="20"/>
            <w:szCs w:val="20"/>
            <w:u w:val="none"/>
          </w:rPr>
          <w:t xml:space="preserve"> </w:t>
        </w:r>
        <w:r w:rsidR="00FA104E" w:rsidRPr="000114A1">
          <w:rPr>
            <w:rStyle w:val="Hyperlink"/>
            <w:rFonts w:ascii="Times New Roman" w:hAnsi="Times New Roman" w:cs="Times New Roman"/>
            <w:sz w:val="20"/>
            <w:szCs w:val="20"/>
            <w:u w:val="none"/>
          </w:rPr>
          <w:t>States, 2016. Morbidity and mortality weekly report 67: 359–361.</w:t>
        </w:r>
      </w:hyperlink>
      <w:r w:rsidR="00FA104E" w:rsidRPr="000114A1">
        <w:rPr>
          <w:rFonts w:ascii="Times New Roman" w:hAnsi="Times New Roman" w:cs="Times New Roman"/>
          <w:sz w:val="20"/>
          <w:szCs w:val="20"/>
        </w:rPr>
        <w:t xml:space="preserve"> </w:t>
      </w:r>
    </w:p>
    <w:p w14:paraId="3C518D0F"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10" w:history="1">
        <w:r w:rsidR="00FA104E" w:rsidRPr="000114A1">
          <w:rPr>
            <w:rStyle w:val="Hyperlink"/>
            <w:rFonts w:ascii="Times New Roman" w:hAnsi="Times New Roman" w:cs="Times New Roman"/>
            <w:sz w:val="20"/>
            <w:szCs w:val="20"/>
            <w:u w:val="none"/>
          </w:rPr>
          <w:t xml:space="preserve">American Academy of Family Physicians (2019) </w:t>
        </w:r>
        <w:proofErr w:type="gramStart"/>
        <w:r w:rsidR="00FA104E" w:rsidRPr="000114A1">
          <w:rPr>
            <w:rStyle w:val="Hyperlink"/>
            <w:rFonts w:ascii="Times New Roman" w:hAnsi="Times New Roman" w:cs="Times New Roman"/>
            <w:sz w:val="20"/>
            <w:szCs w:val="20"/>
            <w:u w:val="none"/>
          </w:rPr>
          <w:t>The</w:t>
        </w:r>
        <w:proofErr w:type="gramEnd"/>
        <w:r w:rsidR="00FA104E" w:rsidRPr="000114A1">
          <w:rPr>
            <w:rStyle w:val="Hyperlink"/>
            <w:rFonts w:ascii="Times New Roman" w:hAnsi="Times New Roman" w:cs="Times New Roman"/>
            <w:sz w:val="20"/>
            <w:szCs w:val="20"/>
            <w:u w:val="none"/>
          </w:rPr>
          <w:t xml:space="preserve"> medical home.</w:t>
        </w:r>
      </w:hyperlink>
      <w:r w:rsidR="00FA104E" w:rsidRPr="000114A1">
        <w:rPr>
          <w:rFonts w:ascii="Times New Roman" w:hAnsi="Times New Roman" w:cs="Times New Roman"/>
          <w:sz w:val="20"/>
          <w:szCs w:val="20"/>
        </w:rPr>
        <w:t xml:space="preserve"> </w:t>
      </w:r>
    </w:p>
    <w:p w14:paraId="1F9D4015"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11" w:history="1">
        <w:r w:rsidR="00FA104E" w:rsidRPr="000114A1">
          <w:rPr>
            <w:rStyle w:val="Hyperlink"/>
            <w:rFonts w:ascii="Times New Roman" w:hAnsi="Times New Roman" w:cs="Times New Roman"/>
            <w:sz w:val="20"/>
            <w:szCs w:val="20"/>
            <w:u w:val="none"/>
          </w:rPr>
          <w:t>American Diabetes Association (2018) Economic costs of diabetes in the U.S. in 2017. Diabetes Care 41: 917–928.</w:t>
        </w:r>
      </w:hyperlink>
      <w:r w:rsidR="00FA104E" w:rsidRPr="000114A1">
        <w:rPr>
          <w:rFonts w:ascii="Times New Roman" w:hAnsi="Times New Roman" w:cs="Times New Roman"/>
          <w:sz w:val="20"/>
          <w:szCs w:val="20"/>
        </w:rPr>
        <w:t xml:space="preserve"> </w:t>
      </w:r>
    </w:p>
    <w:p w14:paraId="6EB031FA"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12" w:history="1">
        <w:r w:rsidR="00FA104E" w:rsidRPr="000114A1">
          <w:rPr>
            <w:rStyle w:val="Hyperlink"/>
            <w:rFonts w:ascii="Times New Roman" w:hAnsi="Times New Roman" w:cs="Times New Roman"/>
            <w:sz w:val="20"/>
            <w:szCs w:val="20"/>
            <w:u w:val="none"/>
          </w:rPr>
          <w:t>Peterson K, Carlin C, Solberg L, et al. (2020) Redesigning primary care to improve diabetes outcomes (the UNITED Study). Diabetes Care 43: 549–555.</w:t>
        </w:r>
      </w:hyperlink>
      <w:r w:rsidR="00FA104E" w:rsidRPr="000114A1">
        <w:rPr>
          <w:rFonts w:ascii="Times New Roman" w:hAnsi="Times New Roman" w:cs="Times New Roman"/>
          <w:sz w:val="20"/>
          <w:szCs w:val="20"/>
        </w:rPr>
        <w:t xml:space="preserve"> </w:t>
      </w:r>
    </w:p>
    <w:p w14:paraId="787A478B"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13" w:history="1">
        <w:proofErr w:type="spellStart"/>
        <w:r w:rsidR="00FA104E" w:rsidRPr="000114A1">
          <w:rPr>
            <w:rStyle w:val="Hyperlink"/>
            <w:rFonts w:ascii="Times New Roman" w:hAnsi="Times New Roman" w:cs="Times New Roman"/>
            <w:sz w:val="20"/>
            <w:szCs w:val="20"/>
            <w:u w:val="none"/>
          </w:rPr>
          <w:t>Lowder</w:t>
        </w:r>
        <w:proofErr w:type="spellEnd"/>
        <w:r w:rsidR="00FA104E" w:rsidRPr="000114A1">
          <w:rPr>
            <w:rStyle w:val="Hyperlink"/>
            <w:rFonts w:ascii="Times New Roman" w:hAnsi="Times New Roman" w:cs="Times New Roman"/>
            <w:sz w:val="20"/>
            <w:szCs w:val="20"/>
            <w:u w:val="none"/>
          </w:rPr>
          <w:t xml:space="preserve"> C (2023) Engaging patients across the care cycle with patient engagement solutions. </w:t>
        </w:r>
        <w:proofErr w:type="spellStart"/>
        <w:r w:rsidR="00FA104E" w:rsidRPr="000114A1">
          <w:rPr>
            <w:rStyle w:val="Hyperlink"/>
            <w:rFonts w:ascii="Times New Roman" w:hAnsi="Times New Roman" w:cs="Times New Roman"/>
            <w:sz w:val="20"/>
            <w:szCs w:val="20"/>
            <w:u w:val="none"/>
          </w:rPr>
          <w:t>TigerConnect</w:t>
        </w:r>
        <w:proofErr w:type="spellEnd"/>
        <w:r w:rsidR="00FA104E" w:rsidRPr="000114A1">
          <w:rPr>
            <w:rStyle w:val="Hyperlink"/>
            <w:rFonts w:ascii="Times New Roman" w:hAnsi="Times New Roman" w:cs="Times New Roman"/>
            <w:sz w:val="20"/>
            <w:szCs w:val="20"/>
            <w:u w:val="none"/>
          </w:rPr>
          <w:t>.</w:t>
        </w:r>
      </w:hyperlink>
      <w:r w:rsidR="00FA104E" w:rsidRPr="000114A1">
        <w:rPr>
          <w:rFonts w:ascii="Times New Roman" w:hAnsi="Times New Roman" w:cs="Times New Roman"/>
          <w:sz w:val="20"/>
          <w:szCs w:val="20"/>
        </w:rPr>
        <w:t xml:space="preserve"> </w:t>
      </w:r>
    </w:p>
    <w:p w14:paraId="061785ED"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14" w:history="1">
        <w:r w:rsidR="00FA104E" w:rsidRPr="000114A1">
          <w:rPr>
            <w:rStyle w:val="Hyperlink"/>
            <w:rFonts w:ascii="Times New Roman" w:hAnsi="Times New Roman" w:cs="Times New Roman"/>
            <w:sz w:val="20"/>
            <w:szCs w:val="20"/>
            <w:u w:val="none"/>
          </w:rPr>
          <w:t xml:space="preserve">Kirschenbaum H (2021) </w:t>
        </w:r>
        <w:proofErr w:type="gramStart"/>
        <w:r w:rsidR="00FA104E" w:rsidRPr="000114A1">
          <w:rPr>
            <w:rStyle w:val="Hyperlink"/>
            <w:rFonts w:ascii="Times New Roman" w:hAnsi="Times New Roman" w:cs="Times New Roman"/>
            <w:sz w:val="20"/>
            <w:szCs w:val="20"/>
            <w:u w:val="none"/>
          </w:rPr>
          <w:t>The</w:t>
        </w:r>
        <w:proofErr w:type="gramEnd"/>
        <w:r w:rsidR="00FA104E" w:rsidRPr="000114A1">
          <w:rPr>
            <w:rStyle w:val="Hyperlink"/>
            <w:rFonts w:ascii="Times New Roman" w:hAnsi="Times New Roman" w:cs="Times New Roman"/>
            <w:sz w:val="20"/>
            <w:szCs w:val="20"/>
            <w:u w:val="none"/>
          </w:rPr>
          <w:t xml:space="preserve"> history of the person-centered approach. The Association for the Development of the Person-Centered Approach.</w:t>
        </w:r>
      </w:hyperlink>
    </w:p>
    <w:p w14:paraId="4F799443"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15" w:history="1">
        <w:proofErr w:type="spellStart"/>
        <w:r w:rsidR="00FA104E" w:rsidRPr="000114A1">
          <w:rPr>
            <w:rStyle w:val="Hyperlink"/>
            <w:rFonts w:ascii="Times New Roman" w:hAnsi="Times New Roman" w:cs="Times New Roman"/>
            <w:sz w:val="20"/>
            <w:szCs w:val="20"/>
            <w:u w:val="none"/>
          </w:rPr>
          <w:t>Balint</w:t>
        </w:r>
        <w:proofErr w:type="spellEnd"/>
        <w:r w:rsidR="00FA104E" w:rsidRPr="000114A1">
          <w:rPr>
            <w:rStyle w:val="Hyperlink"/>
            <w:rFonts w:ascii="Times New Roman" w:hAnsi="Times New Roman" w:cs="Times New Roman"/>
            <w:sz w:val="20"/>
            <w:szCs w:val="20"/>
            <w:u w:val="none"/>
          </w:rPr>
          <w:t xml:space="preserve"> E (1969) </w:t>
        </w:r>
        <w:proofErr w:type="gramStart"/>
        <w:r w:rsidR="00FA104E" w:rsidRPr="000114A1">
          <w:rPr>
            <w:rStyle w:val="Hyperlink"/>
            <w:rFonts w:ascii="Times New Roman" w:hAnsi="Times New Roman" w:cs="Times New Roman"/>
            <w:sz w:val="20"/>
            <w:szCs w:val="20"/>
            <w:u w:val="none"/>
          </w:rPr>
          <w:t>The</w:t>
        </w:r>
        <w:proofErr w:type="gramEnd"/>
        <w:r w:rsidR="00FA104E" w:rsidRPr="000114A1">
          <w:rPr>
            <w:rStyle w:val="Hyperlink"/>
            <w:rFonts w:ascii="Times New Roman" w:hAnsi="Times New Roman" w:cs="Times New Roman"/>
            <w:sz w:val="20"/>
            <w:szCs w:val="20"/>
            <w:u w:val="none"/>
          </w:rPr>
          <w:t xml:space="preserve"> possibilities of patient-centered medicine. Royal College of General Practitioners 17: 269-276.</w:t>
        </w:r>
      </w:hyperlink>
    </w:p>
    <w:p w14:paraId="0639ACE7"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16" w:history="1">
        <w:r w:rsidR="00FA104E" w:rsidRPr="000114A1">
          <w:rPr>
            <w:rStyle w:val="Hyperlink"/>
            <w:rFonts w:ascii="Times New Roman" w:hAnsi="Times New Roman" w:cs="Times New Roman"/>
            <w:sz w:val="20"/>
            <w:szCs w:val="20"/>
            <w:u w:val="none"/>
          </w:rPr>
          <w:t>Institute of Medicine (US) Committee on Quality of Health Care in America (2001) Crossing the quality chasm: A new health system for the 21st century. National Academies Press (US).</w:t>
        </w:r>
      </w:hyperlink>
    </w:p>
    <w:p w14:paraId="6DAAD63C"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17" w:history="1">
        <w:r w:rsidR="00FA104E" w:rsidRPr="000114A1">
          <w:rPr>
            <w:rStyle w:val="Hyperlink"/>
            <w:rFonts w:ascii="Times New Roman" w:hAnsi="Times New Roman" w:cs="Times New Roman"/>
            <w:sz w:val="20"/>
            <w:szCs w:val="20"/>
            <w:u w:val="none"/>
          </w:rPr>
          <w:t>Burton RA, Zuckerman S, Haber SG, et al. (2020) Patient-centered medical home activities associated with low Medicare spending and utilization. Annals of Family Medicine 18: 503-510.</w:t>
        </w:r>
      </w:hyperlink>
      <w:r w:rsidR="00FA104E" w:rsidRPr="000114A1">
        <w:rPr>
          <w:rFonts w:ascii="Times New Roman" w:hAnsi="Times New Roman" w:cs="Times New Roman"/>
          <w:sz w:val="20"/>
          <w:szCs w:val="20"/>
        </w:rPr>
        <w:t xml:space="preserve"> </w:t>
      </w:r>
    </w:p>
    <w:p w14:paraId="4DE99E1A"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18" w:history="1">
        <w:proofErr w:type="spellStart"/>
        <w:r w:rsidR="00FA104E" w:rsidRPr="000114A1">
          <w:rPr>
            <w:rStyle w:val="Hyperlink"/>
            <w:rFonts w:ascii="Times New Roman" w:hAnsi="Times New Roman" w:cs="Times New Roman"/>
            <w:sz w:val="20"/>
            <w:szCs w:val="20"/>
            <w:u w:val="none"/>
          </w:rPr>
          <w:t>Fogel</w:t>
        </w:r>
        <w:proofErr w:type="spellEnd"/>
        <w:r w:rsidR="00FA104E" w:rsidRPr="000114A1">
          <w:rPr>
            <w:rStyle w:val="Hyperlink"/>
            <w:rFonts w:ascii="Times New Roman" w:hAnsi="Times New Roman" w:cs="Times New Roman"/>
            <w:sz w:val="20"/>
            <w:szCs w:val="20"/>
            <w:u w:val="none"/>
          </w:rPr>
          <w:t xml:space="preserve"> B, </w:t>
        </w:r>
        <w:proofErr w:type="spellStart"/>
        <w:r w:rsidR="00FA104E" w:rsidRPr="000114A1">
          <w:rPr>
            <w:rStyle w:val="Hyperlink"/>
            <w:rFonts w:ascii="Times New Roman" w:hAnsi="Times New Roman" w:cs="Times New Roman"/>
            <w:sz w:val="20"/>
            <w:szCs w:val="20"/>
            <w:u w:val="none"/>
          </w:rPr>
          <w:t>Waschbusch</w:t>
        </w:r>
        <w:proofErr w:type="spellEnd"/>
        <w:r w:rsidR="00FA104E" w:rsidRPr="000114A1">
          <w:rPr>
            <w:rStyle w:val="Hyperlink"/>
            <w:rFonts w:ascii="Times New Roman" w:hAnsi="Times New Roman" w:cs="Times New Roman"/>
            <w:sz w:val="20"/>
            <w:szCs w:val="20"/>
            <w:u w:val="none"/>
          </w:rPr>
          <w:t xml:space="preserve"> D, </w:t>
        </w:r>
        <w:proofErr w:type="spellStart"/>
        <w:r w:rsidR="00FA104E" w:rsidRPr="000114A1">
          <w:rPr>
            <w:rStyle w:val="Hyperlink"/>
            <w:rFonts w:ascii="Times New Roman" w:hAnsi="Times New Roman" w:cs="Times New Roman"/>
            <w:sz w:val="20"/>
            <w:szCs w:val="20"/>
            <w:u w:val="none"/>
          </w:rPr>
          <w:t>Jairath</w:t>
        </w:r>
        <w:proofErr w:type="spellEnd"/>
        <w:r w:rsidR="00FA104E" w:rsidRPr="000114A1">
          <w:rPr>
            <w:rStyle w:val="Hyperlink"/>
            <w:rFonts w:ascii="Times New Roman" w:hAnsi="Times New Roman" w:cs="Times New Roman"/>
            <w:sz w:val="20"/>
            <w:szCs w:val="20"/>
            <w:u w:val="none"/>
          </w:rPr>
          <w:t xml:space="preserve"> B, et al. (2019) Feasibility and effectiveness of implementing an integrated care model for </w:t>
        </w:r>
        <w:proofErr w:type="gramStart"/>
        <w:r w:rsidR="00FA104E" w:rsidRPr="000114A1">
          <w:rPr>
            <w:rStyle w:val="Hyperlink"/>
            <w:rFonts w:ascii="Times New Roman" w:hAnsi="Times New Roman" w:cs="Times New Roman"/>
            <w:sz w:val="20"/>
            <w:szCs w:val="20"/>
            <w:u w:val="none"/>
          </w:rPr>
          <w:t>attention deficit hyperactivity disorder</w:t>
        </w:r>
        <w:proofErr w:type="gramEnd"/>
        <w:r w:rsidR="00FA104E" w:rsidRPr="000114A1">
          <w:rPr>
            <w:rStyle w:val="Hyperlink"/>
            <w:rFonts w:ascii="Times New Roman" w:hAnsi="Times New Roman" w:cs="Times New Roman"/>
            <w:sz w:val="20"/>
            <w:szCs w:val="20"/>
            <w:u w:val="none"/>
          </w:rPr>
          <w:t xml:space="preserve"> in primary care pediatrics. International Journal of Integrated Care (IJIC) 19: 1-2.</w:t>
        </w:r>
      </w:hyperlink>
      <w:r w:rsidR="00FA104E" w:rsidRPr="000114A1">
        <w:rPr>
          <w:rFonts w:ascii="Times New Roman" w:hAnsi="Times New Roman" w:cs="Times New Roman"/>
          <w:sz w:val="20"/>
          <w:szCs w:val="20"/>
        </w:rPr>
        <w:t xml:space="preserve"> </w:t>
      </w:r>
    </w:p>
    <w:p w14:paraId="16633147"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19" w:history="1">
        <w:r w:rsidR="00FA104E" w:rsidRPr="000114A1">
          <w:rPr>
            <w:rStyle w:val="Hyperlink"/>
            <w:rFonts w:ascii="Times New Roman" w:hAnsi="Times New Roman" w:cs="Times New Roman"/>
            <w:sz w:val="20"/>
            <w:szCs w:val="20"/>
            <w:u w:val="none"/>
          </w:rPr>
          <w:t xml:space="preserve">Glenn TW, </w:t>
        </w:r>
        <w:proofErr w:type="spellStart"/>
        <w:r w:rsidR="00FA104E" w:rsidRPr="000114A1">
          <w:rPr>
            <w:rStyle w:val="Hyperlink"/>
            <w:rFonts w:ascii="Times New Roman" w:hAnsi="Times New Roman" w:cs="Times New Roman"/>
            <w:sz w:val="20"/>
            <w:szCs w:val="20"/>
            <w:u w:val="none"/>
          </w:rPr>
          <w:t>Riekert</w:t>
        </w:r>
        <w:proofErr w:type="spellEnd"/>
        <w:r w:rsidR="00FA104E" w:rsidRPr="000114A1">
          <w:rPr>
            <w:rStyle w:val="Hyperlink"/>
            <w:rFonts w:ascii="Times New Roman" w:hAnsi="Times New Roman" w:cs="Times New Roman"/>
            <w:sz w:val="20"/>
            <w:szCs w:val="20"/>
            <w:u w:val="none"/>
          </w:rPr>
          <w:t xml:space="preserve"> KA, </w:t>
        </w:r>
        <w:proofErr w:type="spellStart"/>
        <w:r w:rsidR="00FA104E" w:rsidRPr="000114A1">
          <w:rPr>
            <w:rStyle w:val="Hyperlink"/>
            <w:rFonts w:ascii="Times New Roman" w:hAnsi="Times New Roman" w:cs="Times New Roman"/>
            <w:sz w:val="20"/>
            <w:szCs w:val="20"/>
            <w:u w:val="none"/>
          </w:rPr>
          <w:t>Roter</w:t>
        </w:r>
        <w:proofErr w:type="spellEnd"/>
        <w:r w:rsidR="00FA104E" w:rsidRPr="000114A1">
          <w:rPr>
            <w:rStyle w:val="Hyperlink"/>
            <w:rFonts w:ascii="Times New Roman" w:hAnsi="Times New Roman" w:cs="Times New Roman"/>
            <w:sz w:val="20"/>
            <w:szCs w:val="20"/>
            <w:u w:val="none"/>
          </w:rPr>
          <w:t xml:space="preserve"> D, et al. (2021) Engagement and affective communication during pediatric nephrology clinic visits: Associations with medication adherence. Patient Education &amp; Counseling 104: 578-584.</w:t>
        </w:r>
      </w:hyperlink>
      <w:r w:rsidR="00FA104E" w:rsidRPr="000114A1">
        <w:rPr>
          <w:rFonts w:ascii="Times New Roman" w:hAnsi="Times New Roman" w:cs="Times New Roman"/>
          <w:sz w:val="20"/>
          <w:szCs w:val="20"/>
        </w:rPr>
        <w:t xml:space="preserve"> </w:t>
      </w:r>
    </w:p>
    <w:p w14:paraId="76661E7F"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20" w:history="1">
        <w:r w:rsidR="00FA104E" w:rsidRPr="000114A1">
          <w:rPr>
            <w:rStyle w:val="Hyperlink"/>
            <w:rFonts w:ascii="Times New Roman" w:hAnsi="Times New Roman" w:cs="Times New Roman"/>
            <w:sz w:val="20"/>
            <w:szCs w:val="20"/>
            <w:u w:val="none"/>
          </w:rPr>
          <w:t xml:space="preserve">Vo MT, </w:t>
        </w:r>
        <w:proofErr w:type="spellStart"/>
        <w:r w:rsidR="00FA104E" w:rsidRPr="000114A1">
          <w:rPr>
            <w:rStyle w:val="Hyperlink"/>
            <w:rFonts w:ascii="Times New Roman" w:hAnsi="Times New Roman" w:cs="Times New Roman"/>
            <w:sz w:val="20"/>
            <w:szCs w:val="20"/>
            <w:u w:val="none"/>
          </w:rPr>
          <w:t>Uratsu</w:t>
        </w:r>
        <w:proofErr w:type="spellEnd"/>
        <w:r w:rsidR="00FA104E" w:rsidRPr="000114A1">
          <w:rPr>
            <w:rStyle w:val="Hyperlink"/>
            <w:rFonts w:ascii="Times New Roman" w:hAnsi="Times New Roman" w:cs="Times New Roman"/>
            <w:sz w:val="20"/>
            <w:szCs w:val="20"/>
            <w:u w:val="none"/>
          </w:rPr>
          <w:t xml:space="preserve"> CS, Estacio KR, et al. (2019) Prompting patients with poorly controlled diabetes to identify visit priorities before primary care visits: A pragmatic cluster randomized trial. JGIM: Journal of General Internal Medicine 34: 831-838.</w:t>
        </w:r>
      </w:hyperlink>
      <w:r w:rsidR="00FA104E" w:rsidRPr="000114A1">
        <w:rPr>
          <w:rFonts w:ascii="Times New Roman" w:hAnsi="Times New Roman" w:cs="Times New Roman"/>
          <w:sz w:val="20"/>
          <w:szCs w:val="20"/>
        </w:rPr>
        <w:t xml:space="preserve"> </w:t>
      </w:r>
    </w:p>
    <w:p w14:paraId="46ACE6B2"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21" w:history="1">
        <w:r w:rsidR="00FA104E" w:rsidRPr="000114A1">
          <w:rPr>
            <w:rStyle w:val="Hyperlink"/>
            <w:rFonts w:ascii="Times New Roman" w:hAnsi="Times New Roman" w:cs="Times New Roman"/>
            <w:sz w:val="20"/>
            <w:szCs w:val="20"/>
            <w:u w:val="none"/>
          </w:rPr>
          <w:t xml:space="preserve">Grant RW, Lyles C, </w:t>
        </w:r>
        <w:proofErr w:type="spellStart"/>
        <w:proofErr w:type="gramStart"/>
        <w:r w:rsidR="00FA104E" w:rsidRPr="000114A1">
          <w:rPr>
            <w:rStyle w:val="Hyperlink"/>
            <w:rFonts w:ascii="Times New Roman" w:hAnsi="Times New Roman" w:cs="Times New Roman"/>
            <w:sz w:val="20"/>
            <w:szCs w:val="20"/>
            <w:u w:val="none"/>
          </w:rPr>
          <w:t>Uratsu</w:t>
        </w:r>
        <w:proofErr w:type="spellEnd"/>
        <w:proofErr w:type="gramEnd"/>
        <w:r w:rsidR="00FA104E" w:rsidRPr="000114A1">
          <w:rPr>
            <w:rStyle w:val="Hyperlink"/>
            <w:rFonts w:ascii="Times New Roman" w:hAnsi="Times New Roman" w:cs="Times New Roman"/>
            <w:sz w:val="20"/>
            <w:szCs w:val="20"/>
            <w:u w:val="none"/>
          </w:rPr>
          <w:t xml:space="preserve"> CS, et al. (2019) Visit planning using a waiting room health IT tool: The aligning patients and providers randomized controlled trial. Annals of Family Medicine 17: 141-149.</w:t>
        </w:r>
      </w:hyperlink>
      <w:r w:rsidR="00FA104E" w:rsidRPr="000114A1">
        <w:rPr>
          <w:rFonts w:ascii="Times New Roman" w:hAnsi="Times New Roman" w:cs="Times New Roman"/>
          <w:sz w:val="20"/>
          <w:szCs w:val="20"/>
        </w:rPr>
        <w:t xml:space="preserve"> </w:t>
      </w:r>
    </w:p>
    <w:p w14:paraId="721B1E8A"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22" w:history="1">
        <w:proofErr w:type="spellStart"/>
        <w:r w:rsidR="00FA104E" w:rsidRPr="000114A1">
          <w:rPr>
            <w:rStyle w:val="Hyperlink"/>
            <w:rFonts w:ascii="Times New Roman" w:hAnsi="Times New Roman" w:cs="Times New Roman"/>
            <w:sz w:val="20"/>
            <w:szCs w:val="20"/>
            <w:u w:val="none"/>
          </w:rPr>
          <w:t>Bodenheimer</w:t>
        </w:r>
        <w:proofErr w:type="spellEnd"/>
        <w:r w:rsidR="00FA104E" w:rsidRPr="000114A1">
          <w:rPr>
            <w:rStyle w:val="Hyperlink"/>
            <w:rFonts w:ascii="Times New Roman" w:hAnsi="Times New Roman" w:cs="Times New Roman"/>
            <w:sz w:val="20"/>
            <w:szCs w:val="20"/>
            <w:u w:val="none"/>
          </w:rPr>
          <w:t xml:space="preserve"> TS, Willard-Grace R (2022) Care management for patients with type 2 diabetes: The roles of nurses, pharmacists, and social workers. Health Affairs 41: 947-954.</w:t>
        </w:r>
      </w:hyperlink>
      <w:r w:rsidR="00FA104E" w:rsidRPr="000114A1">
        <w:rPr>
          <w:rFonts w:ascii="Times New Roman" w:hAnsi="Times New Roman" w:cs="Times New Roman"/>
          <w:sz w:val="20"/>
          <w:szCs w:val="20"/>
        </w:rPr>
        <w:t xml:space="preserve"> </w:t>
      </w:r>
    </w:p>
    <w:p w14:paraId="156F9935"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23" w:history="1">
        <w:proofErr w:type="spellStart"/>
        <w:r w:rsidR="00FA104E" w:rsidRPr="000114A1">
          <w:rPr>
            <w:rStyle w:val="Hyperlink"/>
            <w:rFonts w:ascii="Times New Roman" w:hAnsi="Times New Roman" w:cs="Times New Roman"/>
            <w:sz w:val="20"/>
            <w:szCs w:val="20"/>
            <w:u w:val="none"/>
          </w:rPr>
          <w:t>Matulis</w:t>
        </w:r>
        <w:proofErr w:type="spellEnd"/>
        <w:r w:rsidR="00FA104E" w:rsidRPr="000114A1">
          <w:rPr>
            <w:rStyle w:val="Hyperlink"/>
            <w:rFonts w:ascii="Times New Roman" w:hAnsi="Times New Roman" w:cs="Times New Roman"/>
            <w:sz w:val="20"/>
            <w:szCs w:val="20"/>
            <w:u w:val="none"/>
          </w:rPr>
          <w:t xml:space="preserve"> JC, McCoy R (2021) Patient-centered appointment scheduling: A call for autonomy, continuity, and creativity. Journal of General Internal Medicine 36: 511-514.</w:t>
        </w:r>
      </w:hyperlink>
      <w:r w:rsidR="00FA104E" w:rsidRPr="000114A1">
        <w:rPr>
          <w:rFonts w:ascii="Times New Roman" w:hAnsi="Times New Roman" w:cs="Times New Roman"/>
          <w:sz w:val="20"/>
          <w:szCs w:val="20"/>
        </w:rPr>
        <w:t xml:space="preserve"> </w:t>
      </w:r>
    </w:p>
    <w:p w14:paraId="75555081"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24" w:history="1">
        <w:proofErr w:type="spellStart"/>
        <w:r w:rsidR="00FA104E" w:rsidRPr="000114A1">
          <w:rPr>
            <w:rStyle w:val="Hyperlink"/>
            <w:rFonts w:ascii="Times New Roman" w:hAnsi="Times New Roman" w:cs="Times New Roman"/>
            <w:sz w:val="20"/>
            <w:szCs w:val="20"/>
            <w:u w:val="none"/>
          </w:rPr>
          <w:t>Magnan</w:t>
        </w:r>
        <w:proofErr w:type="spellEnd"/>
        <w:r w:rsidR="00FA104E" w:rsidRPr="000114A1">
          <w:rPr>
            <w:rStyle w:val="Hyperlink"/>
            <w:rFonts w:ascii="Times New Roman" w:hAnsi="Times New Roman" w:cs="Times New Roman"/>
            <w:sz w:val="20"/>
            <w:szCs w:val="20"/>
            <w:u w:val="none"/>
          </w:rPr>
          <w:t xml:space="preserve"> E, </w:t>
        </w:r>
        <w:proofErr w:type="spellStart"/>
        <w:r w:rsidR="00FA104E" w:rsidRPr="000114A1">
          <w:rPr>
            <w:rStyle w:val="Hyperlink"/>
            <w:rFonts w:ascii="Times New Roman" w:hAnsi="Times New Roman" w:cs="Times New Roman"/>
            <w:sz w:val="20"/>
            <w:szCs w:val="20"/>
            <w:u w:val="none"/>
          </w:rPr>
          <w:t>Gosdin</w:t>
        </w:r>
        <w:proofErr w:type="spellEnd"/>
        <w:r w:rsidR="00FA104E" w:rsidRPr="000114A1">
          <w:rPr>
            <w:rStyle w:val="Hyperlink"/>
            <w:rFonts w:ascii="Times New Roman" w:hAnsi="Times New Roman" w:cs="Times New Roman"/>
            <w:sz w:val="20"/>
            <w:szCs w:val="20"/>
            <w:u w:val="none"/>
          </w:rPr>
          <w:t xml:space="preserve"> M, </w:t>
        </w:r>
        <w:proofErr w:type="spellStart"/>
        <w:proofErr w:type="gramStart"/>
        <w:r w:rsidR="00FA104E" w:rsidRPr="000114A1">
          <w:rPr>
            <w:rStyle w:val="Hyperlink"/>
            <w:rFonts w:ascii="Times New Roman" w:hAnsi="Times New Roman" w:cs="Times New Roman"/>
            <w:sz w:val="20"/>
            <w:szCs w:val="20"/>
            <w:u w:val="none"/>
          </w:rPr>
          <w:t>Tancredi</w:t>
        </w:r>
        <w:proofErr w:type="spellEnd"/>
        <w:proofErr w:type="gramEnd"/>
        <w:r w:rsidR="00FA104E" w:rsidRPr="000114A1">
          <w:rPr>
            <w:rStyle w:val="Hyperlink"/>
            <w:rFonts w:ascii="Times New Roman" w:hAnsi="Times New Roman" w:cs="Times New Roman"/>
            <w:sz w:val="20"/>
            <w:szCs w:val="20"/>
            <w:u w:val="none"/>
          </w:rPr>
          <w:t xml:space="preserve"> D, et al. (2021) Pilot randomized controlled trial protocol: Life context-informed pre-visit planning to improve care plans for primary care patients with multiple chronic conditions including diabetes. Journal of </w:t>
        </w:r>
        <w:proofErr w:type="spellStart"/>
        <w:r w:rsidR="00FA104E" w:rsidRPr="000114A1">
          <w:rPr>
            <w:rStyle w:val="Hyperlink"/>
            <w:rFonts w:ascii="Times New Roman" w:hAnsi="Times New Roman" w:cs="Times New Roman"/>
            <w:sz w:val="20"/>
            <w:szCs w:val="20"/>
            <w:u w:val="none"/>
          </w:rPr>
          <w:t>Multimorbidity</w:t>
        </w:r>
        <w:proofErr w:type="spellEnd"/>
        <w:r w:rsidR="00FA104E" w:rsidRPr="000114A1">
          <w:rPr>
            <w:rStyle w:val="Hyperlink"/>
            <w:rFonts w:ascii="Times New Roman" w:hAnsi="Times New Roman" w:cs="Times New Roman"/>
            <w:sz w:val="20"/>
            <w:szCs w:val="20"/>
            <w:u w:val="none"/>
          </w:rPr>
          <w:t xml:space="preserve"> &amp; Comorbidity 11: 1-12.</w:t>
        </w:r>
      </w:hyperlink>
      <w:r w:rsidR="00FA104E" w:rsidRPr="000114A1">
        <w:rPr>
          <w:rFonts w:ascii="Times New Roman" w:hAnsi="Times New Roman" w:cs="Times New Roman"/>
          <w:sz w:val="20"/>
          <w:szCs w:val="20"/>
        </w:rPr>
        <w:t xml:space="preserve"> </w:t>
      </w:r>
    </w:p>
    <w:p w14:paraId="64FE654A"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25" w:history="1">
        <w:r w:rsidR="00FA104E" w:rsidRPr="000114A1">
          <w:rPr>
            <w:rStyle w:val="Hyperlink"/>
            <w:rFonts w:ascii="Times New Roman" w:hAnsi="Times New Roman" w:cs="Times New Roman"/>
            <w:sz w:val="20"/>
            <w:szCs w:val="20"/>
            <w:u w:val="none"/>
          </w:rPr>
          <w:t xml:space="preserve">Stuart BC, Timmons V, </w:t>
        </w:r>
        <w:proofErr w:type="spellStart"/>
        <w:r w:rsidR="00FA104E" w:rsidRPr="000114A1">
          <w:rPr>
            <w:rStyle w:val="Hyperlink"/>
            <w:rFonts w:ascii="Times New Roman" w:hAnsi="Times New Roman" w:cs="Times New Roman"/>
            <w:sz w:val="20"/>
            <w:szCs w:val="20"/>
            <w:u w:val="none"/>
          </w:rPr>
          <w:t>Loh</w:t>
        </w:r>
        <w:proofErr w:type="spellEnd"/>
        <w:r w:rsidR="00FA104E" w:rsidRPr="000114A1">
          <w:rPr>
            <w:rStyle w:val="Hyperlink"/>
            <w:rFonts w:ascii="Times New Roman" w:hAnsi="Times New Roman" w:cs="Times New Roman"/>
            <w:sz w:val="20"/>
            <w:szCs w:val="20"/>
            <w:u w:val="none"/>
          </w:rPr>
          <w:t xml:space="preserve"> F-HE, Dai M, et al. (2021) Can one or two simple questions predict poor medication adherence? Journal of Evaluation in Clinical Practice 27: 75-83.</w:t>
        </w:r>
      </w:hyperlink>
      <w:r w:rsidR="00FA104E" w:rsidRPr="000114A1">
        <w:rPr>
          <w:rFonts w:ascii="Times New Roman" w:hAnsi="Times New Roman" w:cs="Times New Roman"/>
          <w:sz w:val="20"/>
          <w:szCs w:val="20"/>
        </w:rPr>
        <w:t xml:space="preserve"> </w:t>
      </w:r>
    </w:p>
    <w:p w14:paraId="0E80AE9D"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26" w:history="1">
        <w:r w:rsidR="00FA104E" w:rsidRPr="000114A1">
          <w:rPr>
            <w:rStyle w:val="Hyperlink"/>
            <w:rFonts w:ascii="Times New Roman" w:hAnsi="Times New Roman" w:cs="Times New Roman"/>
            <w:sz w:val="20"/>
            <w:szCs w:val="20"/>
            <w:u w:val="none"/>
          </w:rPr>
          <w:t xml:space="preserve">Davis TME, Drinkwater JJ, </w:t>
        </w:r>
        <w:proofErr w:type="spellStart"/>
        <w:r w:rsidR="00FA104E" w:rsidRPr="000114A1">
          <w:rPr>
            <w:rStyle w:val="Hyperlink"/>
            <w:rFonts w:ascii="Times New Roman" w:hAnsi="Times New Roman" w:cs="Times New Roman"/>
            <w:sz w:val="20"/>
            <w:szCs w:val="20"/>
            <w:u w:val="none"/>
          </w:rPr>
          <w:t>Fegan</w:t>
        </w:r>
        <w:proofErr w:type="spellEnd"/>
        <w:r w:rsidR="00FA104E" w:rsidRPr="000114A1">
          <w:rPr>
            <w:rStyle w:val="Hyperlink"/>
            <w:rFonts w:ascii="Times New Roman" w:hAnsi="Times New Roman" w:cs="Times New Roman"/>
            <w:sz w:val="20"/>
            <w:szCs w:val="20"/>
            <w:u w:val="none"/>
          </w:rPr>
          <w:t xml:space="preserve"> PG, et al. (2021) Community-based management of complex type 2 diabetes: Adaptation of an integrated model of care in a general practice setting. Internal Medicine Journal 51: 62-68.</w:t>
        </w:r>
      </w:hyperlink>
      <w:r w:rsidR="00FA104E" w:rsidRPr="000114A1">
        <w:rPr>
          <w:rFonts w:ascii="Times New Roman" w:hAnsi="Times New Roman" w:cs="Times New Roman"/>
          <w:sz w:val="20"/>
          <w:szCs w:val="20"/>
        </w:rPr>
        <w:t xml:space="preserve"> </w:t>
      </w:r>
    </w:p>
    <w:p w14:paraId="79B771A2" w14:textId="77777777" w:rsidR="00FA104E" w:rsidRPr="000114A1" w:rsidRDefault="004E52F8" w:rsidP="000114A1">
      <w:pPr>
        <w:pStyle w:val="ListParagraph"/>
        <w:numPr>
          <w:ilvl w:val="0"/>
          <w:numId w:val="3"/>
        </w:numPr>
        <w:spacing w:line="240" w:lineRule="auto"/>
        <w:mirrorIndents/>
        <w:jc w:val="both"/>
        <w:rPr>
          <w:rFonts w:ascii="Times New Roman" w:hAnsi="Times New Roman" w:cs="Times New Roman"/>
          <w:sz w:val="20"/>
          <w:szCs w:val="20"/>
        </w:rPr>
      </w:pPr>
      <w:hyperlink r:id="rId27" w:history="1">
        <w:r w:rsidR="00FA104E" w:rsidRPr="000114A1">
          <w:rPr>
            <w:rStyle w:val="Hyperlink"/>
            <w:rFonts w:ascii="Times New Roman" w:hAnsi="Times New Roman" w:cs="Times New Roman"/>
            <w:sz w:val="20"/>
            <w:szCs w:val="20"/>
            <w:u w:val="none"/>
          </w:rPr>
          <w:t xml:space="preserve">McKinley J, Rose H (2020) </w:t>
        </w:r>
        <w:proofErr w:type="gramStart"/>
        <w:r w:rsidR="00FA104E" w:rsidRPr="000114A1">
          <w:rPr>
            <w:rStyle w:val="Hyperlink"/>
            <w:rFonts w:ascii="Times New Roman" w:hAnsi="Times New Roman" w:cs="Times New Roman"/>
            <w:sz w:val="20"/>
            <w:szCs w:val="20"/>
            <w:u w:val="none"/>
          </w:rPr>
          <w:t>The</w:t>
        </w:r>
        <w:proofErr w:type="gramEnd"/>
        <w:r w:rsidR="00FA104E" w:rsidRPr="000114A1">
          <w:rPr>
            <w:rStyle w:val="Hyperlink"/>
            <w:rFonts w:ascii="Times New Roman" w:hAnsi="Times New Roman" w:cs="Times New Roman"/>
            <w:sz w:val="20"/>
            <w:szCs w:val="20"/>
            <w:u w:val="none"/>
          </w:rPr>
          <w:t xml:space="preserve"> Routledge Handbook of Research Methods in Applied Linguistics 133-143.</w:t>
        </w:r>
      </w:hyperlink>
    </w:p>
    <w:p w14:paraId="13224B29" w14:textId="77777777" w:rsidR="00B10FE1" w:rsidRPr="000114A1" w:rsidRDefault="004E52F8" w:rsidP="000114A1">
      <w:pPr>
        <w:pStyle w:val="ListParagraph"/>
        <w:numPr>
          <w:ilvl w:val="0"/>
          <w:numId w:val="3"/>
        </w:numPr>
        <w:spacing w:line="240" w:lineRule="auto"/>
        <w:mirrorIndents/>
        <w:jc w:val="both"/>
        <w:rPr>
          <w:rStyle w:val="Hyperlink"/>
          <w:rFonts w:ascii="Times New Roman" w:hAnsi="Times New Roman" w:cs="Times New Roman"/>
          <w:color w:val="auto"/>
          <w:sz w:val="20"/>
          <w:szCs w:val="20"/>
          <w:u w:val="none"/>
        </w:rPr>
      </w:pPr>
      <w:hyperlink r:id="rId28" w:history="1">
        <w:r w:rsidR="00FA104E" w:rsidRPr="000114A1">
          <w:rPr>
            <w:rStyle w:val="Hyperlink"/>
            <w:rFonts w:ascii="Times New Roman" w:hAnsi="Times New Roman" w:cs="Times New Roman"/>
            <w:sz w:val="20"/>
            <w:szCs w:val="20"/>
            <w:u w:val="none"/>
          </w:rPr>
          <w:t>United States Census Bureau (2021) East Aurora Village, New York. 2020 Decennial Census.</w:t>
        </w:r>
      </w:hyperlink>
    </w:p>
    <w:p w14:paraId="65E747E8" w14:textId="43F9EA42" w:rsidR="00313BEF" w:rsidRPr="000114A1" w:rsidRDefault="004E52F8" w:rsidP="00C61CEE">
      <w:pPr>
        <w:pStyle w:val="ListParagraph"/>
        <w:numPr>
          <w:ilvl w:val="0"/>
          <w:numId w:val="3"/>
        </w:numPr>
        <w:spacing w:line="240" w:lineRule="auto"/>
        <w:mirrorIndents/>
        <w:jc w:val="both"/>
        <w:rPr>
          <w:rFonts w:ascii="Times New Roman" w:hAnsi="Times New Roman" w:cs="Times New Roman"/>
          <w:sz w:val="20"/>
          <w:szCs w:val="20"/>
        </w:rPr>
      </w:pPr>
      <w:hyperlink r:id="rId29" w:history="1">
        <w:r w:rsidR="00E87F82" w:rsidRPr="002E6EFC">
          <w:rPr>
            <w:rStyle w:val="Hyperlink"/>
            <w:rFonts w:ascii="Times New Roman" w:hAnsi="Times New Roman" w:cs="Times New Roman"/>
            <w:sz w:val="20"/>
            <w:szCs w:val="20"/>
            <w:u w:val="none"/>
          </w:rPr>
          <w:t xml:space="preserve">American Association of Colleges of Nursing (2006) </w:t>
        </w:r>
        <w:proofErr w:type="gramStart"/>
        <w:r w:rsidR="00E87F82" w:rsidRPr="002E6EFC">
          <w:rPr>
            <w:rStyle w:val="Hyperlink"/>
            <w:rFonts w:ascii="Times New Roman" w:hAnsi="Times New Roman" w:cs="Times New Roman"/>
            <w:sz w:val="20"/>
            <w:szCs w:val="20"/>
            <w:u w:val="none"/>
          </w:rPr>
          <w:t>The</w:t>
        </w:r>
        <w:proofErr w:type="gramEnd"/>
        <w:r w:rsidR="00E87F82" w:rsidRPr="002E6EFC">
          <w:rPr>
            <w:rStyle w:val="Hyperlink"/>
            <w:rFonts w:ascii="Times New Roman" w:hAnsi="Times New Roman" w:cs="Times New Roman"/>
            <w:sz w:val="20"/>
            <w:szCs w:val="20"/>
            <w:u w:val="none"/>
          </w:rPr>
          <w:t xml:space="preserve"> essentials of doctoral education for advanced nursing practice.</w:t>
        </w:r>
      </w:hyperlink>
    </w:p>
    <w:sectPr w:rsidR="00313BEF" w:rsidRPr="000114A1" w:rsidSect="001671D5">
      <w:headerReference w:type="default" r:id="rId30"/>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6A9AF" w14:textId="77777777" w:rsidR="004E52F8" w:rsidRDefault="004E52F8">
      <w:pPr>
        <w:spacing w:line="240" w:lineRule="auto"/>
      </w:pPr>
      <w:r>
        <w:separator/>
      </w:r>
    </w:p>
  </w:endnote>
  <w:endnote w:type="continuationSeparator" w:id="0">
    <w:p w14:paraId="5731F2FA" w14:textId="77777777" w:rsidR="004E52F8" w:rsidRDefault="004E52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A2412" w14:textId="77777777" w:rsidR="004E52F8" w:rsidRDefault="004E52F8">
      <w:pPr>
        <w:spacing w:line="240" w:lineRule="auto"/>
      </w:pPr>
      <w:r>
        <w:separator/>
      </w:r>
    </w:p>
  </w:footnote>
  <w:footnote w:type="continuationSeparator" w:id="0">
    <w:p w14:paraId="7E99E289" w14:textId="77777777" w:rsidR="004E52F8" w:rsidRDefault="004E52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BF6FF" w14:textId="77777777" w:rsidR="00B04548" w:rsidRPr="00423D98" w:rsidRDefault="00B04548" w:rsidP="00423D98">
    <w:pPr>
      <w:tabs>
        <w:tab w:val="left" w:pos="7426"/>
      </w:tabs>
      <w:spacing w:line="240" w:lineRule="auto"/>
      <w:contextualSpacing/>
      <w:mirrorIndents/>
      <w:jc w:val="both"/>
      <w:rPr>
        <w:rFonts w:ascii="Times New Roman" w:hAnsi="Times New Roman" w:cs="Times New Roman"/>
        <w:sz w:val="20"/>
        <w:szCs w:val="20"/>
      </w:rPr>
    </w:pPr>
    <w:r w:rsidRPr="00423D98">
      <w:rPr>
        <w:rFonts w:ascii="Times New Roman" w:hAnsi="Times New Roman" w:cs="Times New Roman"/>
        <w:noProof/>
        <w:sz w:val="20"/>
        <w:szCs w:val="20"/>
        <w:lang w:val="en-IN" w:eastAsia="en-IN"/>
      </w:rPr>
      <w:drawing>
        <wp:anchor distT="0" distB="0" distL="114300" distR="114300" simplePos="0" relativeHeight="251659264" behindDoc="0" locked="0" layoutInCell="1" allowOverlap="1" wp14:anchorId="26B32F75" wp14:editId="433070D9">
          <wp:simplePos x="0" y="0"/>
          <wp:positionH relativeFrom="column">
            <wp:posOffset>67945</wp:posOffset>
          </wp:positionH>
          <wp:positionV relativeFrom="paragraph">
            <wp:posOffset>0</wp:posOffset>
          </wp:positionV>
          <wp:extent cx="982345" cy="797560"/>
          <wp:effectExtent l="0" t="0" r="8255"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797560"/>
                  </a:xfrm>
                  <a:prstGeom prst="rect">
                    <a:avLst/>
                  </a:prstGeom>
                </pic:spPr>
              </pic:pic>
            </a:graphicData>
          </a:graphic>
        </wp:anchor>
      </w:drawing>
    </w:r>
  </w:p>
  <w:p w14:paraId="527F979C" w14:textId="77777777" w:rsidR="00B04548" w:rsidRPr="008F1D2D" w:rsidRDefault="00B04548" w:rsidP="00423D98">
    <w:pPr>
      <w:tabs>
        <w:tab w:val="left" w:pos="7426"/>
      </w:tabs>
      <w:spacing w:line="240" w:lineRule="auto"/>
      <w:contextualSpacing/>
      <w:mirrorIndents/>
      <w:jc w:val="both"/>
      <w:rPr>
        <w:rFonts w:ascii="Times New Roman" w:hAnsi="Times New Roman" w:cs="Times New Roman"/>
        <w:szCs w:val="20"/>
      </w:rPr>
    </w:pPr>
    <w:r w:rsidRPr="008F1D2D">
      <w:rPr>
        <w:rFonts w:ascii="Times New Roman" w:hAnsi="Times New Roman" w:cs="Times New Roman"/>
        <w:szCs w:val="20"/>
      </w:rPr>
      <w:t>Columbus Publishers</w:t>
    </w:r>
  </w:p>
  <w:p w14:paraId="03E828FF" w14:textId="77777777" w:rsidR="00B04548" w:rsidRPr="008F1D2D" w:rsidRDefault="00B04548" w:rsidP="00423D98">
    <w:pPr>
      <w:tabs>
        <w:tab w:val="left" w:pos="7426"/>
      </w:tabs>
      <w:spacing w:line="240" w:lineRule="auto"/>
      <w:contextualSpacing/>
      <w:mirrorIndents/>
      <w:jc w:val="both"/>
      <w:rPr>
        <w:rFonts w:ascii="Times New Roman" w:hAnsi="Times New Roman" w:cs="Times New Roman"/>
        <w:szCs w:val="20"/>
      </w:rPr>
    </w:pPr>
    <w:r w:rsidRPr="008F1D2D">
      <w:rPr>
        <w:rFonts w:ascii="Times New Roman" w:hAnsi="Times New Roman" w:cs="Times New Roman"/>
        <w:szCs w:val="20"/>
      </w:rPr>
      <w:t>International Journal of Nursing and Health Care Science</w:t>
    </w:r>
  </w:p>
  <w:p w14:paraId="7C7972A2" w14:textId="77777777" w:rsidR="00B04548" w:rsidRPr="008F1D2D" w:rsidRDefault="00B04548" w:rsidP="00423D98">
    <w:pPr>
      <w:spacing w:line="240" w:lineRule="auto"/>
      <w:contextualSpacing/>
      <w:mirrorIndents/>
      <w:jc w:val="both"/>
      <w:rPr>
        <w:rFonts w:ascii="Times New Roman" w:hAnsi="Times New Roman" w:cs="Times New Roman"/>
        <w:szCs w:val="20"/>
      </w:rPr>
    </w:pPr>
    <w:r w:rsidRPr="008F1D2D">
      <w:rPr>
        <w:rFonts w:ascii="Times New Roman" w:hAnsi="Times New Roman" w:cs="Times New Roman"/>
        <w:szCs w:val="20"/>
      </w:rPr>
      <w:t>Volume 04: Issue 02</w:t>
    </w:r>
  </w:p>
  <w:p w14:paraId="291C7D5C" w14:textId="69595941" w:rsidR="00D84619" w:rsidRDefault="006B3682" w:rsidP="00423D98">
    <w:pPr>
      <w:spacing w:line="240" w:lineRule="auto"/>
      <w:contextualSpacing/>
      <w:mirrorIndents/>
      <w:jc w:val="both"/>
      <w:rPr>
        <w:rFonts w:ascii="Times New Roman" w:hAnsi="Times New Roman" w:cs="Times New Roman"/>
        <w:sz w:val="20"/>
        <w:szCs w:val="20"/>
      </w:rPr>
    </w:pPr>
    <w:r w:rsidRPr="008F1D2D">
      <w:rPr>
        <w:rFonts w:ascii="Times New Roman" w:hAnsi="Times New Roman" w:cs="Times New Roman"/>
        <w:szCs w:val="20"/>
      </w:rPr>
      <w:t>Robinson M</w:t>
    </w:r>
    <w:r w:rsidR="00B04548" w:rsidRPr="008F1D2D">
      <w:rPr>
        <w:rFonts w:ascii="Times New Roman" w:hAnsi="Times New Roman" w:cs="Times New Roman"/>
        <w:szCs w:val="20"/>
      </w:rPr>
      <w:t>.</w:t>
    </w:r>
    <w:r w:rsidR="00862027">
      <w:rPr>
        <w:rFonts w:ascii="Times New Roman" w:hAnsi="Times New Roman" w:cs="Times New Roman"/>
        <w:sz w:val="20"/>
        <w:szCs w:val="20"/>
      </w:rPr>
      <w:t xml:space="preserve"> </w:t>
    </w:r>
  </w:p>
  <w:p w14:paraId="23C1F8AB" w14:textId="77777777" w:rsidR="00862027" w:rsidRPr="00423D98" w:rsidRDefault="00862027" w:rsidP="00423D98">
    <w:pPr>
      <w:spacing w:line="240" w:lineRule="auto"/>
      <w:contextualSpacing/>
      <w:mirrorIndents/>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A6DDC"/>
    <w:multiLevelType w:val="hybridMultilevel"/>
    <w:tmpl w:val="C3FE66C4"/>
    <w:lvl w:ilvl="0" w:tplc="FC3E9B78">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3863DE9"/>
    <w:multiLevelType w:val="hybridMultilevel"/>
    <w:tmpl w:val="A0880F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854774D"/>
    <w:multiLevelType w:val="hybridMultilevel"/>
    <w:tmpl w:val="5F0CA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EF"/>
    <w:rsid w:val="00001719"/>
    <w:rsid w:val="000041C0"/>
    <w:rsid w:val="000114A1"/>
    <w:rsid w:val="00014EF6"/>
    <w:rsid w:val="00016969"/>
    <w:rsid w:val="000177A8"/>
    <w:rsid w:val="00083DC7"/>
    <w:rsid w:val="00091BF1"/>
    <w:rsid w:val="000A6C0F"/>
    <w:rsid w:val="000A6DC5"/>
    <w:rsid w:val="000C4932"/>
    <w:rsid w:val="000E66AF"/>
    <w:rsid w:val="00110C3C"/>
    <w:rsid w:val="0012277C"/>
    <w:rsid w:val="001348D8"/>
    <w:rsid w:val="00136B33"/>
    <w:rsid w:val="0014034B"/>
    <w:rsid w:val="001671D5"/>
    <w:rsid w:val="00176D7A"/>
    <w:rsid w:val="00181125"/>
    <w:rsid w:val="0018616C"/>
    <w:rsid w:val="001A4AE6"/>
    <w:rsid w:val="001A7FD9"/>
    <w:rsid w:val="001C36B3"/>
    <w:rsid w:val="001C51CA"/>
    <w:rsid w:val="001E6BE0"/>
    <w:rsid w:val="001F1B47"/>
    <w:rsid w:val="002029EF"/>
    <w:rsid w:val="002050F8"/>
    <w:rsid w:val="00210BBB"/>
    <w:rsid w:val="002176FC"/>
    <w:rsid w:val="0024573D"/>
    <w:rsid w:val="00252D54"/>
    <w:rsid w:val="00273789"/>
    <w:rsid w:val="00277D16"/>
    <w:rsid w:val="00281B1E"/>
    <w:rsid w:val="002A629B"/>
    <w:rsid w:val="002B4382"/>
    <w:rsid w:val="002C29AE"/>
    <w:rsid w:val="002D1168"/>
    <w:rsid w:val="002E6EFC"/>
    <w:rsid w:val="002F5B06"/>
    <w:rsid w:val="0030351D"/>
    <w:rsid w:val="00313BEF"/>
    <w:rsid w:val="0033252A"/>
    <w:rsid w:val="00336D61"/>
    <w:rsid w:val="003614A5"/>
    <w:rsid w:val="003707F3"/>
    <w:rsid w:val="003750FB"/>
    <w:rsid w:val="0039150B"/>
    <w:rsid w:val="003925C2"/>
    <w:rsid w:val="003B1677"/>
    <w:rsid w:val="003B7A67"/>
    <w:rsid w:val="003C2491"/>
    <w:rsid w:val="003C2D47"/>
    <w:rsid w:val="003C5EE3"/>
    <w:rsid w:val="003F08FE"/>
    <w:rsid w:val="00403124"/>
    <w:rsid w:val="00417F12"/>
    <w:rsid w:val="00423D98"/>
    <w:rsid w:val="004472D6"/>
    <w:rsid w:val="004476D4"/>
    <w:rsid w:val="004B0A1A"/>
    <w:rsid w:val="004C0537"/>
    <w:rsid w:val="004D7B93"/>
    <w:rsid w:val="004E52F8"/>
    <w:rsid w:val="00500983"/>
    <w:rsid w:val="00502B1B"/>
    <w:rsid w:val="00506920"/>
    <w:rsid w:val="005168E1"/>
    <w:rsid w:val="0052197A"/>
    <w:rsid w:val="0055267A"/>
    <w:rsid w:val="005538AF"/>
    <w:rsid w:val="00553A29"/>
    <w:rsid w:val="00555393"/>
    <w:rsid w:val="00564F8A"/>
    <w:rsid w:val="00576DE7"/>
    <w:rsid w:val="005A76F2"/>
    <w:rsid w:val="005C1D28"/>
    <w:rsid w:val="005E5739"/>
    <w:rsid w:val="005E6517"/>
    <w:rsid w:val="005F3057"/>
    <w:rsid w:val="005F4D0E"/>
    <w:rsid w:val="006046B2"/>
    <w:rsid w:val="0063014B"/>
    <w:rsid w:val="00633B74"/>
    <w:rsid w:val="00641116"/>
    <w:rsid w:val="00641C0D"/>
    <w:rsid w:val="006515E3"/>
    <w:rsid w:val="00654DAB"/>
    <w:rsid w:val="00663E35"/>
    <w:rsid w:val="0067192E"/>
    <w:rsid w:val="00676258"/>
    <w:rsid w:val="0069367C"/>
    <w:rsid w:val="006B290B"/>
    <w:rsid w:val="006B3682"/>
    <w:rsid w:val="006B67A9"/>
    <w:rsid w:val="006D6487"/>
    <w:rsid w:val="006F37C0"/>
    <w:rsid w:val="00700ECE"/>
    <w:rsid w:val="00724CB6"/>
    <w:rsid w:val="00730EDF"/>
    <w:rsid w:val="007321E6"/>
    <w:rsid w:val="00741C92"/>
    <w:rsid w:val="00756E75"/>
    <w:rsid w:val="00765B3B"/>
    <w:rsid w:val="00767049"/>
    <w:rsid w:val="007702BE"/>
    <w:rsid w:val="00772D0D"/>
    <w:rsid w:val="007759A9"/>
    <w:rsid w:val="00780DBB"/>
    <w:rsid w:val="007813F7"/>
    <w:rsid w:val="007919DA"/>
    <w:rsid w:val="0079270A"/>
    <w:rsid w:val="007B26A1"/>
    <w:rsid w:val="007B5FEE"/>
    <w:rsid w:val="007C0531"/>
    <w:rsid w:val="007C3E64"/>
    <w:rsid w:val="007D02B1"/>
    <w:rsid w:val="007D789C"/>
    <w:rsid w:val="008235EE"/>
    <w:rsid w:val="00831FF0"/>
    <w:rsid w:val="00840FE2"/>
    <w:rsid w:val="0084244F"/>
    <w:rsid w:val="00857DD5"/>
    <w:rsid w:val="00862027"/>
    <w:rsid w:val="00880516"/>
    <w:rsid w:val="00893870"/>
    <w:rsid w:val="00894748"/>
    <w:rsid w:val="0089782A"/>
    <w:rsid w:val="008B1670"/>
    <w:rsid w:val="008B5E68"/>
    <w:rsid w:val="008D02CA"/>
    <w:rsid w:val="008D053B"/>
    <w:rsid w:val="008D407F"/>
    <w:rsid w:val="008F1D2D"/>
    <w:rsid w:val="009072A2"/>
    <w:rsid w:val="00934F6F"/>
    <w:rsid w:val="00943CBE"/>
    <w:rsid w:val="00970C5B"/>
    <w:rsid w:val="00986D9D"/>
    <w:rsid w:val="00996B3B"/>
    <w:rsid w:val="009A0B17"/>
    <w:rsid w:val="009A2A61"/>
    <w:rsid w:val="009B1C62"/>
    <w:rsid w:val="009B55F0"/>
    <w:rsid w:val="009C2022"/>
    <w:rsid w:val="009C4033"/>
    <w:rsid w:val="009D35F6"/>
    <w:rsid w:val="00A21401"/>
    <w:rsid w:val="00A565FB"/>
    <w:rsid w:val="00A568DC"/>
    <w:rsid w:val="00A758D5"/>
    <w:rsid w:val="00AB0061"/>
    <w:rsid w:val="00AB32C4"/>
    <w:rsid w:val="00AB36FF"/>
    <w:rsid w:val="00AC0C9C"/>
    <w:rsid w:val="00AD6C40"/>
    <w:rsid w:val="00AF754A"/>
    <w:rsid w:val="00B04548"/>
    <w:rsid w:val="00B058B9"/>
    <w:rsid w:val="00B10FE1"/>
    <w:rsid w:val="00B14D80"/>
    <w:rsid w:val="00B23D94"/>
    <w:rsid w:val="00B2556C"/>
    <w:rsid w:val="00B46EF2"/>
    <w:rsid w:val="00B547BB"/>
    <w:rsid w:val="00B66469"/>
    <w:rsid w:val="00B67B7C"/>
    <w:rsid w:val="00B74D87"/>
    <w:rsid w:val="00B855E2"/>
    <w:rsid w:val="00B91DC8"/>
    <w:rsid w:val="00BB05B3"/>
    <w:rsid w:val="00BB1063"/>
    <w:rsid w:val="00BB2C1C"/>
    <w:rsid w:val="00BC6D9B"/>
    <w:rsid w:val="00BD4BFC"/>
    <w:rsid w:val="00C02A53"/>
    <w:rsid w:val="00C16EB1"/>
    <w:rsid w:val="00C3406F"/>
    <w:rsid w:val="00C672F3"/>
    <w:rsid w:val="00C74141"/>
    <w:rsid w:val="00C81941"/>
    <w:rsid w:val="00C842F4"/>
    <w:rsid w:val="00CB576E"/>
    <w:rsid w:val="00CE75F3"/>
    <w:rsid w:val="00CF4AAA"/>
    <w:rsid w:val="00CF77E6"/>
    <w:rsid w:val="00D05D80"/>
    <w:rsid w:val="00D06E8C"/>
    <w:rsid w:val="00D568F2"/>
    <w:rsid w:val="00D617FD"/>
    <w:rsid w:val="00D678E4"/>
    <w:rsid w:val="00D70B08"/>
    <w:rsid w:val="00D84619"/>
    <w:rsid w:val="00D94E07"/>
    <w:rsid w:val="00DA6A63"/>
    <w:rsid w:val="00DE5610"/>
    <w:rsid w:val="00DF2553"/>
    <w:rsid w:val="00E0067A"/>
    <w:rsid w:val="00E127F2"/>
    <w:rsid w:val="00E131F2"/>
    <w:rsid w:val="00E161BB"/>
    <w:rsid w:val="00E61687"/>
    <w:rsid w:val="00E635AE"/>
    <w:rsid w:val="00E656B2"/>
    <w:rsid w:val="00E67E41"/>
    <w:rsid w:val="00E73C78"/>
    <w:rsid w:val="00E87F82"/>
    <w:rsid w:val="00EB7A8C"/>
    <w:rsid w:val="00EC4B90"/>
    <w:rsid w:val="00EC53C3"/>
    <w:rsid w:val="00EC733D"/>
    <w:rsid w:val="00F05BED"/>
    <w:rsid w:val="00F0782D"/>
    <w:rsid w:val="00F123CA"/>
    <w:rsid w:val="00F2134B"/>
    <w:rsid w:val="00F22EDB"/>
    <w:rsid w:val="00F2469C"/>
    <w:rsid w:val="00F27189"/>
    <w:rsid w:val="00F27B0D"/>
    <w:rsid w:val="00F371B5"/>
    <w:rsid w:val="00F37983"/>
    <w:rsid w:val="00F444F7"/>
    <w:rsid w:val="00F4630B"/>
    <w:rsid w:val="00F52E68"/>
    <w:rsid w:val="00F70418"/>
    <w:rsid w:val="00F90CFB"/>
    <w:rsid w:val="00FA104E"/>
    <w:rsid w:val="00FB026B"/>
    <w:rsid w:val="00FB15A1"/>
    <w:rsid w:val="00FD03BF"/>
    <w:rsid w:val="00FE405A"/>
    <w:rsid w:val="00FE77CA"/>
    <w:rsid w:val="00FF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0F2E9"/>
  <w15:docId w15:val="{E61696A7-FCA2-4A8F-958D-370EAA39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400" w:after="120" w:line="480" w:lineRule="auto"/>
      <w:jc w:val="center"/>
      <w:outlineLvl w:val="0"/>
    </w:pPr>
    <w:rPr>
      <w:b/>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6920"/>
    <w:pPr>
      <w:tabs>
        <w:tab w:val="center" w:pos="4680"/>
        <w:tab w:val="right" w:pos="9360"/>
      </w:tabs>
      <w:spacing w:line="240" w:lineRule="auto"/>
    </w:pPr>
  </w:style>
  <w:style w:type="character" w:customStyle="1" w:styleId="HeaderChar">
    <w:name w:val="Header Char"/>
    <w:basedOn w:val="DefaultParagraphFont"/>
    <w:link w:val="Header"/>
    <w:uiPriority w:val="99"/>
    <w:rsid w:val="00506920"/>
  </w:style>
  <w:style w:type="paragraph" w:styleId="Footer">
    <w:name w:val="footer"/>
    <w:basedOn w:val="Normal"/>
    <w:link w:val="FooterChar"/>
    <w:uiPriority w:val="99"/>
    <w:unhideWhenUsed/>
    <w:rsid w:val="00506920"/>
    <w:pPr>
      <w:tabs>
        <w:tab w:val="center" w:pos="4680"/>
        <w:tab w:val="right" w:pos="9360"/>
      </w:tabs>
      <w:spacing w:line="240" w:lineRule="auto"/>
    </w:pPr>
  </w:style>
  <w:style w:type="character" w:customStyle="1" w:styleId="FooterChar">
    <w:name w:val="Footer Char"/>
    <w:basedOn w:val="DefaultParagraphFont"/>
    <w:link w:val="Footer"/>
    <w:uiPriority w:val="99"/>
    <w:rsid w:val="00506920"/>
  </w:style>
  <w:style w:type="character" w:customStyle="1" w:styleId="Heading1Char">
    <w:name w:val="Heading 1 Char"/>
    <w:basedOn w:val="DefaultParagraphFont"/>
    <w:link w:val="Heading1"/>
    <w:rsid w:val="001C51CA"/>
    <w:rPr>
      <w:b/>
    </w:rPr>
  </w:style>
  <w:style w:type="character" w:styleId="Hyperlink">
    <w:name w:val="Hyperlink"/>
    <w:basedOn w:val="DefaultParagraphFont"/>
    <w:uiPriority w:val="99"/>
    <w:unhideWhenUsed/>
    <w:rsid w:val="003F08FE"/>
    <w:rPr>
      <w:color w:val="0000FF" w:themeColor="hyperlink"/>
      <w:u w:val="single"/>
    </w:rPr>
  </w:style>
  <w:style w:type="character" w:customStyle="1" w:styleId="UnresolvedMention">
    <w:name w:val="Unresolved Mention"/>
    <w:basedOn w:val="DefaultParagraphFont"/>
    <w:uiPriority w:val="99"/>
    <w:semiHidden/>
    <w:unhideWhenUsed/>
    <w:rsid w:val="003F08FE"/>
    <w:rPr>
      <w:color w:val="605E5C"/>
      <w:shd w:val="clear" w:color="auto" w:fill="E1DFDD"/>
    </w:rPr>
  </w:style>
  <w:style w:type="paragraph" w:styleId="ListParagraph">
    <w:name w:val="List Paragraph"/>
    <w:basedOn w:val="Normal"/>
    <w:uiPriority w:val="34"/>
    <w:qFormat/>
    <w:rsid w:val="00FA1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494362">
      <w:bodyDiv w:val="1"/>
      <w:marLeft w:val="0"/>
      <w:marRight w:val="0"/>
      <w:marTop w:val="0"/>
      <w:marBottom w:val="0"/>
      <w:divBdr>
        <w:top w:val="none" w:sz="0" w:space="0" w:color="auto"/>
        <w:left w:val="none" w:sz="0" w:space="0" w:color="auto"/>
        <w:bottom w:val="none" w:sz="0" w:space="0" w:color="auto"/>
        <w:right w:val="none" w:sz="0" w:space="0" w:color="auto"/>
      </w:divBdr>
    </w:div>
    <w:div w:id="989556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diabetes" TargetMode="External"/><Relationship Id="rId13" Type="http://schemas.openxmlformats.org/officeDocument/2006/relationships/hyperlink" Target="https://tigerconnect.com/blog/engaging-patients-across-the-care-cycle-with-patient-engagement-solutions/" TargetMode="External"/><Relationship Id="rId18" Type="http://schemas.openxmlformats.org/officeDocument/2006/relationships/hyperlink" Target="https://ijic.org/articles/10.5334/ijic.s3371" TargetMode="External"/><Relationship Id="rId26" Type="http://schemas.openxmlformats.org/officeDocument/2006/relationships/hyperlink" Target="https://onlinelibrary.wiley.com/doi/10.1111/imj.14669" TargetMode="External"/><Relationship Id="rId3" Type="http://schemas.openxmlformats.org/officeDocument/2006/relationships/styles" Target="styles.xml"/><Relationship Id="rId21" Type="http://schemas.openxmlformats.org/officeDocument/2006/relationships/hyperlink" Target="https://www.annfammed.org/content/17/2/141" TargetMode="External"/><Relationship Id="rId7" Type="http://schemas.openxmlformats.org/officeDocument/2006/relationships/endnotes" Target="endnotes.xml"/><Relationship Id="rId12" Type="http://schemas.openxmlformats.org/officeDocument/2006/relationships/hyperlink" Target="https://diabetesjournals.org/care/article/43/3/549/35622/Redesigning-Primary-Care-to-Improve-Diabetes" TargetMode="External"/><Relationship Id="rId17" Type="http://schemas.openxmlformats.org/officeDocument/2006/relationships/hyperlink" Target="https://www.ncbi.nlm.nih.gov/pmc/articles/PMC7708292/" TargetMode="External"/><Relationship Id="rId25" Type="http://schemas.openxmlformats.org/officeDocument/2006/relationships/hyperlink" Target="https://onlinelibrary.wiley.com/doi/10.1111/jep.13389" TargetMode="External"/><Relationship Id="rId2" Type="http://schemas.openxmlformats.org/officeDocument/2006/relationships/numbering" Target="numbering.xml"/><Relationship Id="rId16" Type="http://schemas.openxmlformats.org/officeDocument/2006/relationships/hyperlink" Target="https://pubmed.ncbi.nlm.nih.gov/25057539/" TargetMode="External"/><Relationship Id="rId20" Type="http://schemas.openxmlformats.org/officeDocument/2006/relationships/hyperlink" Target="https://link.springer.com/article/10.1007/s11606-018-4756-4" TargetMode="External"/><Relationship Id="rId29" Type="http://schemas.openxmlformats.org/officeDocument/2006/relationships/hyperlink" Target="https://www.aacnnursing.org/Portals/42/Publications/DNPEssential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betesjournals.org/care/article/41/5/917/36518/Economic-Costs-of-Diabetes-in-the-U-S-in-2017" TargetMode="External"/><Relationship Id="rId24" Type="http://schemas.openxmlformats.org/officeDocument/2006/relationships/hyperlink" Target="https://journals.sagepub.com/doi/10.1177/263355652110623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cholar.google.co.in/scholar?q=Balint+E+(1969)+The+possibilities+of+patient-centered+medicine.+Royal+College+of+General+Practitioners+17:+269-276.&amp;hl=en&amp;as_sdt=0&amp;as_vis=1&amp;oi=scholart'" TargetMode="External"/><Relationship Id="rId23" Type="http://schemas.openxmlformats.org/officeDocument/2006/relationships/hyperlink" Target="https://link.springer.com/article/10.1007/s11606-020-06058-9" TargetMode="External"/><Relationship Id="rId28" Type="http://schemas.openxmlformats.org/officeDocument/2006/relationships/hyperlink" Target="https://data.census.gov/profile?g=160XX00US3621589" TargetMode="External"/><Relationship Id="rId10" Type="http://schemas.openxmlformats.org/officeDocument/2006/relationships/hyperlink" Target="https://www.aafp.org/family-physician/practice-and-career/delivery-payment-models/medical-home/" TargetMode="External"/><Relationship Id="rId19" Type="http://schemas.openxmlformats.org/officeDocument/2006/relationships/hyperlink" Target="https://linkinghub.elsevier.com/retrieve/pii/S073839912030470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mmwr/volumes/67/wr/mm6712a2.htm?s_cid=mm6712a2_w" TargetMode="External"/><Relationship Id="rId14" Type="http://schemas.openxmlformats.org/officeDocument/2006/relationships/hyperlink" Target="https://adpca.org/the-history-of-the-pca/" TargetMode="External"/><Relationship Id="rId22" Type="http://schemas.openxmlformats.org/officeDocument/2006/relationships/hyperlink" Target="https://www.healthaffairs.org/doi/10.1377/hlthaff.2022.00227" TargetMode="External"/><Relationship Id="rId27" Type="http://schemas.openxmlformats.org/officeDocument/2006/relationships/hyperlink" Target="https://discovery.ucl.ac.uk/id/eprint/10091265/"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967F2-3FDD-4ED6-B815-FAB17067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9</Pages>
  <Words>5804</Words>
  <Characters>33083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Mary lou</cp:lastModifiedBy>
  <cp:revision>709</cp:revision>
  <dcterms:created xsi:type="dcterms:W3CDTF">2024-01-25T15:39:00Z</dcterms:created>
  <dcterms:modified xsi:type="dcterms:W3CDTF">2024-02-06T17:17:00Z</dcterms:modified>
</cp:coreProperties>
</file>