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A242" w14:textId="091BB8AB" w:rsidR="0078759D" w:rsidRPr="00566EE8" w:rsidRDefault="00610D99" w:rsidP="00023B78">
      <w:pPr>
        <w:spacing w:after="0" w:afterAutospacing="0" w:line="240" w:lineRule="auto"/>
        <w:ind w:firstLine="0"/>
        <w:contextualSpacing/>
        <w:mirrorIndents/>
        <w:jc w:val="both"/>
        <w:rPr>
          <w:b/>
          <w:bCs/>
          <w:sz w:val="20"/>
          <w:szCs w:val="20"/>
        </w:rPr>
      </w:pPr>
      <w:bookmarkStart w:id="0" w:name="_Hlk80644789"/>
      <w:bookmarkStart w:id="1" w:name="_Hlk122858082"/>
      <w:bookmarkStart w:id="2" w:name="_Hlk111101270"/>
      <w:bookmarkStart w:id="3" w:name="_Hlk112882866"/>
      <w:r>
        <w:rPr>
          <w:b/>
          <w:bCs/>
          <w:sz w:val="20"/>
          <w:szCs w:val="20"/>
        </w:rPr>
        <w:t>Review</w:t>
      </w:r>
      <w:r w:rsidR="0078759D" w:rsidRPr="00566EE8">
        <w:rPr>
          <w:b/>
          <w:bCs/>
          <w:sz w:val="20"/>
          <w:szCs w:val="20"/>
        </w:rPr>
        <w:t xml:space="preserve"> Article</w:t>
      </w:r>
    </w:p>
    <w:p w14:paraId="22D49EA3" w14:textId="77777777" w:rsidR="0078759D" w:rsidRPr="00566EE8" w:rsidRDefault="0078759D" w:rsidP="00023B78">
      <w:pPr>
        <w:spacing w:after="0" w:afterAutospacing="0" w:line="240" w:lineRule="auto"/>
        <w:ind w:firstLine="0"/>
        <w:contextualSpacing/>
        <w:mirrorIndents/>
        <w:jc w:val="both"/>
        <w:rPr>
          <w:sz w:val="20"/>
          <w:szCs w:val="20"/>
        </w:rPr>
      </w:pPr>
    </w:p>
    <w:p w14:paraId="51D692D4" w14:textId="11441477" w:rsidR="0078759D" w:rsidRPr="00991141" w:rsidRDefault="00A71255" w:rsidP="005250FE">
      <w:pPr>
        <w:spacing w:after="0" w:afterAutospacing="0" w:line="240" w:lineRule="auto"/>
        <w:ind w:firstLine="0"/>
        <w:contextualSpacing/>
        <w:mirrorIndents/>
        <w:jc w:val="center"/>
        <w:rPr>
          <w:b/>
          <w:sz w:val="30"/>
          <w:szCs w:val="30"/>
        </w:rPr>
      </w:pPr>
      <w:r w:rsidRPr="00991141">
        <w:rPr>
          <w:b/>
          <w:sz w:val="30"/>
          <w:szCs w:val="30"/>
        </w:rPr>
        <w:t>Examining Prediabetes Comprehension with the Utilization of a Focused After-Visit Summary</w:t>
      </w:r>
    </w:p>
    <w:p w14:paraId="2FCBB106" w14:textId="77777777" w:rsidR="0078759D" w:rsidRPr="00566EE8" w:rsidRDefault="0078759D" w:rsidP="00023B78">
      <w:pPr>
        <w:spacing w:after="0" w:afterAutospacing="0" w:line="240" w:lineRule="auto"/>
        <w:ind w:firstLine="0"/>
        <w:contextualSpacing/>
        <w:mirrorIndents/>
        <w:jc w:val="both"/>
        <w:rPr>
          <w:sz w:val="20"/>
          <w:szCs w:val="20"/>
        </w:rPr>
      </w:pPr>
    </w:p>
    <w:p w14:paraId="3452FD23" w14:textId="16900D08" w:rsidR="0078759D" w:rsidRPr="00EF7D8E" w:rsidRDefault="00CE70E6" w:rsidP="00023B78">
      <w:pPr>
        <w:spacing w:after="0" w:afterAutospacing="0" w:line="240" w:lineRule="auto"/>
        <w:ind w:firstLine="0"/>
        <w:contextualSpacing/>
        <w:mirrorIndents/>
        <w:jc w:val="both"/>
        <w:rPr>
          <w:b/>
          <w:bCs/>
          <w:sz w:val="22"/>
          <w:szCs w:val="22"/>
        </w:rPr>
      </w:pPr>
      <w:r w:rsidRPr="00EF7D8E">
        <w:rPr>
          <w:b/>
          <w:bCs/>
          <w:sz w:val="22"/>
          <w:szCs w:val="22"/>
        </w:rPr>
        <w:t>Miranda Saver, DNP, APRN, CNP, FNP</w:t>
      </w:r>
      <w:r w:rsidR="007A71D9" w:rsidRPr="00EF7D8E">
        <w:rPr>
          <w:b/>
          <w:bCs/>
          <w:sz w:val="22"/>
          <w:szCs w:val="22"/>
        </w:rPr>
        <w:t>, Cheryl Swenson, DNP, APRN, CNP, FNP, CNE</w:t>
      </w:r>
      <w:r w:rsidR="0078759D" w:rsidRPr="00EF7D8E">
        <w:rPr>
          <w:b/>
          <w:bCs/>
          <w:color w:val="FF0000"/>
          <w:sz w:val="22"/>
          <w:szCs w:val="22"/>
          <w:vertAlign w:val="superscript"/>
        </w:rPr>
        <w:t>#</w:t>
      </w:r>
    </w:p>
    <w:p w14:paraId="6EC5E5E7" w14:textId="77777777" w:rsidR="0078759D" w:rsidRPr="00566EE8" w:rsidRDefault="0078759D" w:rsidP="00023B78">
      <w:pPr>
        <w:spacing w:after="0" w:afterAutospacing="0" w:line="240" w:lineRule="auto"/>
        <w:ind w:firstLine="0"/>
        <w:contextualSpacing/>
        <w:mirrorIndents/>
        <w:jc w:val="both"/>
        <w:rPr>
          <w:bCs/>
          <w:color w:val="FF0000"/>
          <w:sz w:val="20"/>
          <w:szCs w:val="20"/>
        </w:rPr>
      </w:pPr>
    </w:p>
    <w:p w14:paraId="3911C5FB" w14:textId="229FEF24" w:rsidR="0078759D" w:rsidRPr="00566EE8" w:rsidRDefault="0078759D" w:rsidP="00A34272">
      <w:pPr>
        <w:spacing w:after="0" w:afterAutospacing="0" w:line="240" w:lineRule="auto"/>
        <w:ind w:firstLine="0"/>
        <w:contextualSpacing/>
        <w:mirrorIndents/>
        <w:jc w:val="both"/>
        <w:rPr>
          <w:rFonts w:eastAsiaTheme="majorEastAsia"/>
          <w:sz w:val="20"/>
          <w:szCs w:val="20"/>
        </w:rPr>
      </w:pPr>
      <w:r w:rsidRPr="00566EE8">
        <w:rPr>
          <w:bCs/>
          <w:color w:val="FF0000"/>
          <w:sz w:val="20"/>
          <w:szCs w:val="20"/>
          <w:vertAlign w:val="superscript"/>
        </w:rPr>
        <w:t>#</w:t>
      </w:r>
      <w:r w:rsidR="00092D9C">
        <w:rPr>
          <w:rFonts w:eastAsiaTheme="majorEastAsia"/>
          <w:sz w:val="20"/>
          <w:szCs w:val="20"/>
        </w:rPr>
        <w:t xml:space="preserve">School of Nursing, </w:t>
      </w:r>
      <w:r w:rsidR="00A34272" w:rsidRPr="00A34272">
        <w:rPr>
          <w:rFonts w:eastAsiaTheme="majorEastAsia"/>
          <w:sz w:val="20"/>
          <w:szCs w:val="20"/>
        </w:rPr>
        <w:t xml:space="preserve">Minnesota State University, </w:t>
      </w:r>
      <w:r w:rsidR="009A0F3D" w:rsidRPr="009A0F3D">
        <w:rPr>
          <w:rFonts w:eastAsiaTheme="majorEastAsia"/>
          <w:sz w:val="20"/>
          <w:szCs w:val="20"/>
        </w:rPr>
        <w:t>Minnesota</w:t>
      </w:r>
      <w:r w:rsidR="009A0F3D">
        <w:rPr>
          <w:rFonts w:eastAsiaTheme="majorEastAsia"/>
          <w:sz w:val="20"/>
          <w:szCs w:val="20"/>
        </w:rPr>
        <w:t>, USA</w:t>
      </w:r>
    </w:p>
    <w:p w14:paraId="79E4F9C8" w14:textId="77777777" w:rsidR="0078759D" w:rsidRPr="00566EE8" w:rsidRDefault="0078759D" w:rsidP="00023B78">
      <w:pPr>
        <w:spacing w:after="0" w:afterAutospacing="0" w:line="240" w:lineRule="auto"/>
        <w:ind w:firstLine="0"/>
        <w:contextualSpacing/>
        <w:mirrorIndents/>
        <w:jc w:val="both"/>
        <w:rPr>
          <w:rFonts w:eastAsiaTheme="majorEastAsia"/>
          <w:sz w:val="20"/>
          <w:szCs w:val="20"/>
        </w:rPr>
      </w:pPr>
    </w:p>
    <w:p w14:paraId="1A1DE540" w14:textId="149E1959" w:rsidR="00425778" w:rsidRDefault="0078759D" w:rsidP="00023B78">
      <w:pPr>
        <w:spacing w:after="0" w:afterAutospacing="0" w:line="240" w:lineRule="auto"/>
        <w:ind w:firstLine="0"/>
        <w:contextualSpacing/>
        <w:mirrorIndents/>
        <w:jc w:val="both"/>
        <w:rPr>
          <w:sz w:val="20"/>
          <w:szCs w:val="20"/>
        </w:rPr>
      </w:pPr>
      <w:r w:rsidRPr="00566EE8">
        <w:rPr>
          <w:b/>
          <w:bCs/>
          <w:color w:val="FF0000"/>
          <w:sz w:val="20"/>
          <w:szCs w:val="20"/>
          <w:vertAlign w:val="superscript"/>
        </w:rPr>
        <w:t>#</w:t>
      </w:r>
      <w:r w:rsidRPr="00566EE8">
        <w:rPr>
          <w:b/>
          <w:bCs/>
          <w:sz w:val="20"/>
          <w:szCs w:val="20"/>
        </w:rPr>
        <w:t>Corresponding author:</w:t>
      </w:r>
      <w:r w:rsidRPr="00566EE8">
        <w:rPr>
          <w:sz w:val="20"/>
          <w:szCs w:val="20"/>
        </w:rPr>
        <w:t xml:space="preserve"> </w:t>
      </w:r>
      <w:r w:rsidR="00425778" w:rsidRPr="00425778">
        <w:rPr>
          <w:sz w:val="20"/>
          <w:szCs w:val="20"/>
        </w:rPr>
        <w:t>Cheryl Swenson, DNP, APRN, CNP, FNP, CNE</w:t>
      </w:r>
      <w:r w:rsidR="00425778">
        <w:rPr>
          <w:sz w:val="20"/>
          <w:szCs w:val="20"/>
        </w:rPr>
        <w:t>,</w:t>
      </w:r>
      <w:r w:rsidR="004C0035" w:rsidRPr="004C0035">
        <w:t xml:space="preserve"> </w:t>
      </w:r>
      <w:r w:rsidR="004C0035" w:rsidRPr="004C0035">
        <w:rPr>
          <w:sz w:val="20"/>
          <w:szCs w:val="20"/>
        </w:rPr>
        <w:t>Assistant Professor</w:t>
      </w:r>
      <w:r w:rsidR="004C0035">
        <w:rPr>
          <w:sz w:val="20"/>
          <w:szCs w:val="20"/>
        </w:rPr>
        <w:t xml:space="preserve">, </w:t>
      </w:r>
      <w:r w:rsidR="00760A48">
        <w:rPr>
          <w:sz w:val="20"/>
          <w:szCs w:val="20"/>
        </w:rPr>
        <w:t xml:space="preserve">School of Nursing, </w:t>
      </w:r>
      <w:r w:rsidR="00051C1F" w:rsidRPr="00051C1F">
        <w:rPr>
          <w:sz w:val="20"/>
          <w:szCs w:val="20"/>
        </w:rPr>
        <w:t>Minnesota State University</w:t>
      </w:r>
      <w:r w:rsidR="00771288">
        <w:rPr>
          <w:sz w:val="20"/>
          <w:szCs w:val="20"/>
        </w:rPr>
        <w:t xml:space="preserve">, </w:t>
      </w:r>
      <w:r w:rsidR="004C4E90" w:rsidRPr="004C4E90">
        <w:rPr>
          <w:sz w:val="20"/>
          <w:szCs w:val="20"/>
        </w:rPr>
        <w:t xml:space="preserve">Mankato, </w:t>
      </w:r>
      <w:r w:rsidR="00FB5294" w:rsidRPr="00FB5294">
        <w:rPr>
          <w:sz w:val="20"/>
          <w:szCs w:val="20"/>
        </w:rPr>
        <w:t xml:space="preserve">Minnesota </w:t>
      </w:r>
      <w:r w:rsidR="004C4E90" w:rsidRPr="004C4E90">
        <w:rPr>
          <w:sz w:val="20"/>
          <w:szCs w:val="20"/>
        </w:rPr>
        <w:t>56001</w:t>
      </w:r>
      <w:r w:rsidR="00592360">
        <w:rPr>
          <w:sz w:val="20"/>
          <w:szCs w:val="20"/>
        </w:rPr>
        <w:t>, USA</w:t>
      </w:r>
    </w:p>
    <w:p w14:paraId="103F2FF8" w14:textId="77777777" w:rsidR="00592360" w:rsidRPr="00566EE8" w:rsidRDefault="00592360" w:rsidP="00023B78">
      <w:pPr>
        <w:spacing w:after="0" w:afterAutospacing="0" w:line="240" w:lineRule="auto"/>
        <w:ind w:firstLine="0"/>
        <w:contextualSpacing/>
        <w:mirrorIndents/>
        <w:jc w:val="both"/>
        <w:rPr>
          <w:rFonts w:eastAsiaTheme="majorEastAsia"/>
          <w:sz w:val="20"/>
          <w:szCs w:val="20"/>
        </w:rPr>
      </w:pPr>
    </w:p>
    <w:p w14:paraId="72EA6D7C" w14:textId="53E33EAD" w:rsidR="0078759D" w:rsidRDefault="0078759D" w:rsidP="00023B78">
      <w:pPr>
        <w:spacing w:after="0" w:afterAutospacing="0" w:line="240" w:lineRule="auto"/>
        <w:ind w:firstLine="0"/>
        <w:contextualSpacing/>
        <w:mirrorIndents/>
        <w:jc w:val="both"/>
        <w:rPr>
          <w:sz w:val="20"/>
          <w:szCs w:val="20"/>
        </w:rPr>
      </w:pPr>
      <w:r w:rsidRPr="00566EE8">
        <w:rPr>
          <w:b/>
          <w:bCs/>
          <w:sz w:val="20"/>
          <w:szCs w:val="20"/>
        </w:rPr>
        <w:t xml:space="preserve">How to cite this article: </w:t>
      </w:r>
      <w:r w:rsidR="001F49B9">
        <w:rPr>
          <w:sz w:val="20"/>
          <w:szCs w:val="20"/>
        </w:rPr>
        <w:t>Saver</w:t>
      </w:r>
      <w:r w:rsidR="000C40A4" w:rsidRPr="000C40A4">
        <w:rPr>
          <w:sz w:val="20"/>
          <w:szCs w:val="20"/>
        </w:rPr>
        <w:t xml:space="preserve"> </w:t>
      </w:r>
      <w:r w:rsidR="00F80C42">
        <w:rPr>
          <w:sz w:val="20"/>
          <w:szCs w:val="20"/>
        </w:rPr>
        <w:t>M and</w:t>
      </w:r>
      <w:r w:rsidR="00164130">
        <w:rPr>
          <w:sz w:val="20"/>
          <w:szCs w:val="20"/>
        </w:rPr>
        <w:t xml:space="preserve"> </w:t>
      </w:r>
      <w:r w:rsidR="00164130" w:rsidRPr="00164130">
        <w:rPr>
          <w:sz w:val="20"/>
          <w:szCs w:val="20"/>
        </w:rPr>
        <w:t>Swenson</w:t>
      </w:r>
      <w:r w:rsidR="00164130">
        <w:rPr>
          <w:sz w:val="20"/>
          <w:szCs w:val="20"/>
        </w:rPr>
        <w:t xml:space="preserve"> C </w:t>
      </w:r>
      <w:r w:rsidRPr="00566EE8">
        <w:rPr>
          <w:sz w:val="20"/>
          <w:szCs w:val="20"/>
        </w:rPr>
        <w:t xml:space="preserve">(2024) </w:t>
      </w:r>
      <w:r w:rsidR="00FF73A9" w:rsidRPr="00FF73A9">
        <w:rPr>
          <w:sz w:val="20"/>
          <w:szCs w:val="20"/>
        </w:rPr>
        <w:t>Examining Prediabetes Comprehension with the Utilization of a Focused After-Visit Summary</w:t>
      </w:r>
      <w:r w:rsidRPr="00566EE8">
        <w:rPr>
          <w:sz w:val="20"/>
          <w:szCs w:val="20"/>
        </w:rPr>
        <w:t xml:space="preserve">. </w:t>
      </w:r>
      <w:proofErr w:type="spellStart"/>
      <w:r w:rsidRPr="00566EE8">
        <w:rPr>
          <w:i/>
          <w:iCs/>
          <w:sz w:val="20"/>
          <w:szCs w:val="20"/>
        </w:rPr>
        <w:t>Int</w:t>
      </w:r>
      <w:proofErr w:type="spellEnd"/>
      <w:r w:rsidRPr="00566EE8">
        <w:rPr>
          <w:i/>
          <w:iCs/>
          <w:sz w:val="20"/>
          <w:szCs w:val="20"/>
        </w:rPr>
        <w:t xml:space="preserve"> J </w:t>
      </w:r>
      <w:proofErr w:type="spellStart"/>
      <w:r w:rsidRPr="00566EE8">
        <w:rPr>
          <w:i/>
          <w:iCs/>
          <w:sz w:val="20"/>
          <w:szCs w:val="20"/>
        </w:rPr>
        <w:t>Nurs</w:t>
      </w:r>
      <w:proofErr w:type="spellEnd"/>
      <w:r w:rsidRPr="00566EE8">
        <w:rPr>
          <w:i/>
          <w:iCs/>
          <w:sz w:val="20"/>
          <w:szCs w:val="20"/>
        </w:rPr>
        <w:t xml:space="preserve"> &amp; </w:t>
      </w:r>
      <w:proofErr w:type="spellStart"/>
      <w:r w:rsidRPr="00566EE8">
        <w:rPr>
          <w:i/>
          <w:iCs/>
          <w:sz w:val="20"/>
          <w:szCs w:val="20"/>
        </w:rPr>
        <w:t>Healt</w:t>
      </w:r>
      <w:proofErr w:type="spellEnd"/>
      <w:r w:rsidRPr="00566EE8">
        <w:rPr>
          <w:i/>
          <w:iCs/>
          <w:sz w:val="20"/>
          <w:szCs w:val="20"/>
        </w:rPr>
        <w:t xml:space="preserve"> Car Scie</w:t>
      </w:r>
      <w:r w:rsidR="00651677">
        <w:rPr>
          <w:sz w:val="20"/>
          <w:szCs w:val="20"/>
        </w:rPr>
        <w:t xml:space="preserve"> 04(04): 2024-320</w:t>
      </w:r>
      <w:r w:rsidRPr="00566EE8">
        <w:rPr>
          <w:sz w:val="20"/>
          <w:szCs w:val="20"/>
        </w:rPr>
        <w:t>.</w:t>
      </w:r>
    </w:p>
    <w:p w14:paraId="677BF59C" w14:textId="77777777" w:rsidR="008229C2" w:rsidRPr="00566EE8" w:rsidRDefault="008229C2" w:rsidP="00023B78">
      <w:pPr>
        <w:spacing w:after="0" w:afterAutospacing="0" w:line="240" w:lineRule="auto"/>
        <w:ind w:firstLine="0"/>
        <w:contextualSpacing/>
        <w:mirrorIndents/>
        <w:jc w:val="both"/>
        <w:rPr>
          <w:sz w:val="20"/>
          <w:szCs w:val="20"/>
        </w:rPr>
      </w:pPr>
    </w:p>
    <w:p w14:paraId="26772256" w14:textId="6E005CDD" w:rsidR="0078759D" w:rsidRPr="00566EE8" w:rsidRDefault="0078759D" w:rsidP="00023B78">
      <w:pPr>
        <w:spacing w:after="0" w:afterAutospacing="0" w:line="240" w:lineRule="auto"/>
        <w:ind w:firstLine="0"/>
        <w:contextualSpacing/>
        <w:mirrorIndents/>
        <w:jc w:val="both"/>
        <w:rPr>
          <w:sz w:val="20"/>
          <w:szCs w:val="20"/>
        </w:rPr>
      </w:pPr>
      <w:r w:rsidRPr="00566EE8">
        <w:rPr>
          <w:b/>
          <w:bCs/>
          <w:sz w:val="20"/>
          <w:szCs w:val="20"/>
        </w:rPr>
        <w:t>Submission Date:</w:t>
      </w:r>
      <w:r w:rsidRPr="00566EE8">
        <w:rPr>
          <w:sz w:val="20"/>
          <w:szCs w:val="20"/>
        </w:rPr>
        <w:t xml:space="preserve"> </w:t>
      </w:r>
      <w:r w:rsidR="00403A46">
        <w:rPr>
          <w:sz w:val="20"/>
          <w:szCs w:val="20"/>
        </w:rPr>
        <w:t>16</w:t>
      </w:r>
      <w:r w:rsidRPr="00566EE8">
        <w:rPr>
          <w:sz w:val="20"/>
          <w:szCs w:val="20"/>
        </w:rPr>
        <w:t xml:space="preserve"> </w:t>
      </w:r>
      <w:proofErr w:type="gramStart"/>
      <w:r w:rsidRPr="00566EE8">
        <w:rPr>
          <w:sz w:val="20"/>
          <w:szCs w:val="20"/>
        </w:rPr>
        <w:t>March,</w:t>
      </w:r>
      <w:proofErr w:type="gramEnd"/>
      <w:r w:rsidRPr="00566EE8">
        <w:rPr>
          <w:sz w:val="20"/>
          <w:szCs w:val="20"/>
        </w:rPr>
        <w:t xml:space="preserve"> 2024; </w:t>
      </w:r>
      <w:r w:rsidRPr="00566EE8">
        <w:rPr>
          <w:b/>
          <w:bCs/>
          <w:sz w:val="20"/>
          <w:szCs w:val="20"/>
        </w:rPr>
        <w:t>Accepted Date:</w:t>
      </w:r>
      <w:r w:rsidRPr="00566EE8">
        <w:rPr>
          <w:sz w:val="20"/>
          <w:szCs w:val="20"/>
        </w:rPr>
        <w:t xml:space="preserve"> 27 March, 2024; </w:t>
      </w:r>
      <w:r w:rsidRPr="00566EE8">
        <w:rPr>
          <w:b/>
          <w:bCs/>
          <w:sz w:val="20"/>
          <w:szCs w:val="20"/>
        </w:rPr>
        <w:t>Published Online:</w:t>
      </w:r>
      <w:r w:rsidRPr="00566EE8">
        <w:rPr>
          <w:sz w:val="20"/>
          <w:szCs w:val="20"/>
        </w:rPr>
        <w:t xml:space="preserve"> 30 March, 202</w:t>
      </w:r>
      <w:bookmarkStart w:id="4" w:name="Title_Page_for_Submission"/>
      <w:bookmarkEnd w:id="0"/>
      <w:bookmarkEnd w:id="1"/>
      <w:bookmarkEnd w:id="2"/>
      <w:bookmarkEnd w:id="3"/>
      <w:bookmarkEnd w:id="4"/>
      <w:r w:rsidRPr="00566EE8">
        <w:rPr>
          <w:sz w:val="20"/>
          <w:szCs w:val="20"/>
        </w:rPr>
        <w:t>4</w:t>
      </w:r>
    </w:p>
    <w:p w14:paraId="149429CE" w14:textId="02DB21E6" w:rsidR="007E446C" w:rsidRDefault="007E446C" w:rsidP="001C65EE">
      <w:pPr>
        <w:spacing w:after="0" w:afterAutospacing="0" w:line="240" w:lineRule="auto"/>
        <w:ind w:firstLine="0"/>
        <w:contextualSpacing/>
        <w:mirrorIndents/>
        <w:jc w:val="both"/>
        <w:rPr>
          <w:sz w:val="20"/>
          <w:szCs w:val="20"/>
        </w:rPr>
      </w:pPr>
    </w:p>
    <w:p w14:paraId="3BA08AF8" w14:textId="6AE36A74" w:rsidR="001B6534" w:rsidRPr="00F97765" w:rsidRDefault="001B6534" w:rsidP="001C65EE">
      <w:pPr>
        <w:spacing w:after="0" w:afterAutospacing="0" w:line="240" w:lineRule="auto"/>
        <w:ind w:firstLine="0"/>
        <w:contextualSpacing/>
        <w:mirrorIndents/>
        <w:jc w:val="both"/>
        <w:rPr>
          <w:b/>
          <w:sz w:val="20"/>
          <w:szCs w:val="20"/>
        </w:rPr>
      </w:pPr>
      <w:r w:rsidRPr="00FF31D5">
        <w:rPr>
          <w:b/>
          <w:sz w:val="22"/>
          <w:szCs w:val="20"/>
        </w:rPr>
        <w:t>Abstract</w:t>
      </w:r>
    </w:p>
    <w:p w14:paraId="3177D0CA" w14:textId="77777777" w:rsidR="001B6534" w:rsidRPr="001C65EE" w:rsidRDefault="001B6534" w:rsidP="001C65EE">
      <w:pPr>
        <w:spacing w:after="0" w:afterAutospacing="0" w:line="240" w:lineRule="auto"/>
        <w:ind w:firstLine="0"/>
        <w:contextualSpacing/>
        <w:mirrorIndents/>
        <w:jc w:val="both"/>
        <w:rPr>
          <w:sz w:val="20"/>
          <w:szCs w:val="20"/>
        </w:rPr>
      </w:pPr>
    </w:p>
    <w:p w14:paraId="1194643C" w14:textId="3F239135" w:rsidR="00483489" w:rsidRPr="001C65EE" w:rsidRDefault="00483489" w:rsidP="001C65EE">
      <w:pPr>
        <w:spacing w:after="0" w:afterAutospacing="0" w:line="240" w:lineRule="auto"/>
        <w:ind w:firstLine="0"/>
        <w:contextualSpacing/>
        <w:mirrorIndents/>
        <w:jc w:val="both"/>
        <w:rPr>
          <w:sz w:val="20"/>
          <w:szCs w:val="20"/>
        </w:rPr>
      </w:pPr>
      <w:r w:rsidRPr="001C65EE">
        <w:rPr>
          <w:b/>
          <w:bCs/>
          <w:sz w:val="20"/>
          <w:szCs w:val="20"/>
        </w:rPr>
        <w:t>Background</w:t>
      </w:r>
      <w:r w:rsidR="009819BB" w:rsidRPr="001C65EE">
        <w:rPr>
          <w:b/>
          <w:bCs/>
          <w:sz w:val="20"/>
          <w:szCs w:val="20"/>
        </w:rPr>
        <w:t>:</w:t>
      </w:r>
      <w:r w:rsidR="009819BB" w:rsidRPr="001C65EE">
        <w:rPr>
          <w:bCs/>
          <w:sz w:val="20"/>
          <w:szCs w:val="20"/>
        </w:rPr>
        <w:t xml:space="preserve"> </w:t>
      </w:r>
      <w:r w:rsidRPr="001C65EE">
        <w:rPr>
          <w:sz w:val="20"/>
          <w:szCs w:val="20"/>
        </w:rPr>
        <w:t xml:space="preserve">Prediabetes is </w:t>
      </w:r>
      <w:proofErr w:type="gramStart"/>
      <w:r w:rsidRPr="001C65EE">
        <w:rPr>
          <w:sz w:val="20"/>
          <w:szCs w:val="20"/>
        </w:rPr>
        <w:t>a health condition that is increasingly prevalent</w:t>
      </w:r>
      <w:proofErr w:type="gramEnd"/>
      <w:r w:rsidRPr="001C65EE">
        <w:rPr>
          <w:sz w:val="20"/>
          <w:szCs w:val="20"/>
        </w:rPr>
        <w:t xml:space="preserve"> which can result in potentially severe and costly complications if left untreated. The incidence of prediabetes has reached epidemic proportions affecting more than 548 million people worldwide, thus reversing prediabetes or halting the progression to type II diabetes is a public health imperative. </w:t>
      </w:r>
    </w:p>
    <w:p w14:paraId="681D989E" w14:textId="48CEB4A3" w:rsidR="00483489" w:rsidRPr="001C65EE" w:rsidRDefault="00483489" w:rsidP="001C65EE">
      <w:pPr>
        <w:spacing w:after="0" w:afterAutospacing="0" w:line="240" w:lineRule="auto"/>
        <w:ind w:firstLine="0"/>
        <w:contextualSpacing/>
        <w:mirrorIndents/>
        <w:jc w:val="both"/>
        <w:rPr>
          <w:b/>
          <w:bCs/>
          <w:sz w:val="20"/>
          <w:szCs w:val="20"/>
        </w:rPr>
      </w:pPr>
      <w:r w:rsidRPr="001C65EE">
        <w:rPr>
          <w:b/>
          <w:bCs/>
          <w:sz w:val="20"/>
          <w:szCs w:val="20"/>
        </w:rPr>
        <w:t>Purpose</w:t>
      </w:r>
      <w:r w:rsidR="003C3A99" w:rsidRPr="001C65EE">
        <w:rPr>
          <w:b/>
          <w:bCs/>
          <w:sz w:val="20"/>
          <w:szCs w:val="20"/>
        </w:rPr>
        <w:t>:</w:t>
      </w:r>
      <w:r w:rsidR="003C3A99" w:rsidRPr="001C65EE">
        <w:rPr>
          <w:bCs/>
          <w:sz w:val="20"/>
          <w:szCs w:val="20"/>
        </w:rPr>
        <w:t xml:space="preserve"> </w:t>
      </w:r>
      <w:r w:rsidRPr="001C65EE">
        <w:rPr>
          <w:sz w:val="20"/>
          <w:szCs w:val="20"/>
        </w:rPr>
        <w:t xml:space="preserve">The purpose of this project </w:t>
      </w:r>
      <w:r w:rsidR="00C9049A">
        <w:rPr>
          <w:sz w:val="20"/>
          <w:szCs w:val="20"/>
        </w:rPr>
        <w:t>was</w:t>
      </w:r>
      <w:r w:rsidRPr="001C65EE">
        <w:rPr>
          <w:sz w:val="20"/>
          <w:szCs w:val="20"/>
        </w:rPr>
        <w:t xml:space="preserve"> to evaluate if newly diagnosed adults with prediabetes had an increased </w:t>
      </w:r>
      <w:proofErr w:type="gramStart"/>
      <w:r w:rsidRPr="001C65EE">
        <w:rPr>
          <w:sz w:val="20"/>
          <w:szCs w:val="20"/>
        </w:rPr>
        <w:t>comprehension</w:t>
      </w:r>
      <w:proofErr w:type="gramEnd"/>
      <w:r w:rsidRPr="001C65EE">
        <w:rPr>
          <w:sz w:val="20"/>
          <w:szCs w:val="20"/>
        </w:rPr>
        <w:t xml:space="preserve"> of the disease with the utilization of content-specific after-visit summary discharge </w:t>
      </w:r>
      <w:r w:rsidR="00120BE5" w:rsidRPr="00120BE5">
        <w:rPr>
          <w:sz w:val="20"/>
          <w:szCs w:val="20"/>
        </w:rPr>
        <w:t>instructions</w:t>
      </w:r>
      <w:r w:rsidRPr="001C65EE">
        <w:rPr>
          <w:sz w:val="20"/>
          <w:szCs w:val="20"/>
        </w:rPr>
        <w:t xml:space="preserve">. </w:t>
      </w:r>
    </w:p>
    <w:p w14:paraId="5EDB62A9" w14:textId="5C5AB036" w:rsidR="00483489" w:rsidRPr="001C65EE" w:rsidRDefault="00666EDF" w:rsidP="001C65EE">
      <w:pPr>
        <w:spacing w:after="0" w:afterAutospacing="0" w:line="240" w:lineRule="auto"/>
        <w:ind w:firstLine="0"/>
        <w:contextualSpacing/>
        <w:mirrorIndents/>
        <w:jc w:val="both"/>
        <w:rPr>
          <w:sz w:val="20"/>
          <w:szCs w:val="20"/>
        </w:rPr>
      </w:pPr>
      <w:r w:rsidRPr="001C65EE">
        <w:rPr>
          <w:b/>
          <w:sz w:val="20"/>
          <w:szCs w:val="20"/>
        </w:rPr>
        <w:t>Methodology:</w:t>
      </w:r>
      <w:r w:rsidRPr="001C65EE">
        <w:rPr>
          <w:sz w:val="20"/>
          <w:szCs w:val="20"/>
        </w:rPr>
        <w:t xml:space="preserve"> </w:t>
      </w:r>
      <w:r w:rsidR="00483489" w:rsidRPr="001C65EE">
        <w:rPr>
          <w:sz w:val="20"/>
          <w:szCs w:val="20"/>
        </w:rPr>
        <w:t xml:space="preserve">Outpatients in a direct-to-employer clinic identified as meeting the criteria for the diagnosis of prediabetes were </w:t>
      </w:r>
      <w:r w:rsidR="003944AE" w:rsidRPr="001C65EE">
        <w:rPr>
          <w:sz w:val="20"/>
          <w:szCs w:val="20"/>
        </w:rPr>
        <w:t>administered a pretest-posttest evaluation utilizing the KAP-PAQ tool that analyzes knowledge, attitude</w:t>
      </w:r>
      <w:r w:rsidR="00350C7A">
        <w:rPr>
          <w:sz w:val="20"/>
          <w:szCs w:val="20"/>
        </w:rPr>
        <w:t>,</w:t>
      </w:r>
      <w:r w:rsidR="003944AE" w:rsidRPr="001C65EE">
        <w:rPr>
          <w:sz w:val="20"/>
          <w:szCs w:val="20"/>
        </w:rPr>
        <w:t xml:space="preserve"> and practice change after receiving the intervention, which was an after-visit summary including comprehensive education on the topic of prediabetes. </w:t>
      </w:r>
    </w:p>
    <w:p w14:paraId="036A34D5" w14:textId="054AADE2" w:rsidR="00483489" w:rsidRPr="001C65EE" w:rsidRDefault="00483489" w:rsidP="001C65EE">
      <w:pPr>
        <w:spacing w:after="0" w:afterAutospacing="0" w:line="240" w:lineRule="auto"/>
        <w:ind w:firstLine="0"/>
        <w:contextualSpacing/>
        <w:mirrorIndents/>
        <w:jc w:val="both"/>
        <w:rPr>
          <w:sz w:val="20"/>
          <w:szCs w:val="20"/>
        </w:rPr>
      </w:pPr>
      <w:r w:rsidRPr="001C65EE">
        <w:rPr>
          <w:b/>
          <w:bCs/>
          <w:sz w:val="20"/>
          <w:szCs w:val="20"/>
        </w:rPr>
        <w:t>Results</w:t>
      </w:r>
      <w:r w:rsidR="004F2F93" w:rsidRPr="001C65EE">
        <w:rPr>
          <w:sz w:val="20"/>
          <w:szCs w:val="20"/>
        </w:rPr>
        <w:t xml:space="preserve">: </w:t>
      </w:r>
      <w:r w:rsidR="003944AE" w:rsidRPr="001C65EE">
        <w:rPr>
          <w:sz w:val="20"/>
          <w:szCs w:val="20"/>
        </w:rPr>
        <w:t>The project findings demonstrated that 75% of respondents had increased knowledge post-AVS integration, and 25% had no change. The mean KAP-PAQ scores were 10.50 (</w:t>
      </w:r>
      <w:r w:rsidR="003944AE" w:rsidRPr="001C65EE">
        <w:rPr>
          <w:iCs/>
          <w:sz w:val="20"/>
          <w:szCs w:val="20"/>
        </w:rPr>
        <w:t xml:space="preserve">SD </w:t>
      </w:r>
      <w:r w:rsidR="003944AE" w:rsidRPr="001C65EE">
        <w:rPr>
          <w:sz w:val="20"/>
          <w:szCs w:val="20"/>
        </w:rPr>
        <w:t>= 2.38) and 13.00 (</w:t>
      </w:r>
      <w:r w:rsidR="003944AE" w:rsidRPr="001C65EE">
        <w:rPr>
          <w:iCs/>
          <w:sz w:val="20"/>
          <w:szCs w:val="20"/>
        </w:rPr>
        <w:t>SD</w:t>
      </w:r>
      <w:r w:rsidR="003944AE" w:rsidRPr="001C65EE">
        <w:rPr>
          <w:sz w:val="20"/>
          <w:szCs w:val="20"/>
        </w:rPr>
        <w:t xml:space="preserve"> = 0) for pre-AVS integration and post-AVS integration.</w:t>
      </w:r>
      <w:r w:rsidR="00067A90">
        <w:rPr>
          <w:sz w:val="20"/>
          <w:szCs w:val="20"/>
        </w:rPr>
        <w:t xml:space="preserve"> </w:t>
      </w:r>
      <w:r w:rsidR="00067A90" w:rsidRPr="00067A90">
        <w:rPr>
          <w:sz w:val="20"/>
          <w:szCs w:val="20"/>
        </w:rPr>
        <w:t xml:space="preserve">The results of the paired t-test indicated that there were no statistically significant difference in KAP-PAQ scores before and after AVS integration (Mean difference = -2.50, SD = 2.38; </w:t>
      </w:r>
      <w:proofErr w:type="gramStart"/>
      <w:r w:rsidR="00067A90" w:rsidRPr="00067A90">
        <w:rPr>
          <w:sz w:val="20"/>
          <w:szCs w:val="20"/>
        </w:rPr>
        <w:t>t(</w:t>
      </w:r>
      <w:proofErr w:type="gramEnd"/>
      <w:r w:rsidR="00067A90" w:rsidRPr="00067A90">
        <w:rPr>
          <w:sz w:val="20"/>
          <w:szCs w:val="20"/>
        </w:rPr>
        <w:t>3) = -2.10, p = 0.124).</w:t>
      </w:r>
    </w:p>
    <w:p w14:paraId="034B0900" w14:textId="45D7C9AC" w:rsidR="00483489" w:rsidRPr="001C65EE" w:rsidRDefault="00483489" w:rsidP="001C65EE">
      <w:pPr>
        <w:spacing w:after="0" w:afterAutospacing="0" w:line="240" w:lineRule="auto"/>
        <w:ind w:firstLine="0"/>
        <w:contextualSpacing/>
        <w:mirrorIndents/>
        <w:jc w:val="both"/>
        <w:rPr>
          <w:sz w:val="20"/>
          <w:szCs w:val="20"/>
        </w:rPr>
      </w:pPr>
      <w:r w:rsidRPr="001C65EE">
        <w:rPr>
          <w:b/>
          <w:bCs/>
          <w:sz w:val="20"/>
          <w:szCs w:val="20"/>
        </w:rPr>
        <w:t>Conclusion</w:t>
      </w:r>
      <w:r w:rsidR="00514843" w:rsidRPr="001C65EE">
        <w:rPr>
          <w:b/>
          <w:bCs/>
          <w:sz w:val="20"/>
          <w:szCs w:val="20"/>
        </w:rPr>
        <w:t>:</w:t>
      </w:r>
      <w:r w:rsidR="00514843" w:rsidRPr="001C65EE">
        <w:rPr>
          <w:bCs/>
          <w:sz w:val="20"/>
          <w:szCs w:val="20"/>
        </w:rPr>
        <w:t xml:space="preserve"> </w:t>
      </w:r>
      <w:r w:rsidR="003944AE" w:rsidRPr="001C65EE">
        <w:rPr>
          <w:sz w:val="20"/>
          <w:szCs w:val="20"/>
        </w:rPr>
        <w:t xml:space="preserve">Though the sample size did not provide statistical significance, there was evidence of increased comprehension of the diagnosis of pre-diabetes through the utilization of </w:t>
      </w:r>
      <w:r w:rsidR="00C46182">
        <w:rPr>
          <w:sz w:val="20"/>
          <w:szCs w:val="20"/>
        </w:rPr>
        <w:t xml:space="preserve">a </w:t>
      </w:r>
      <w:r w:rsidR="00CD612B" w:rsidRPr="001C65EE">
        <w:rPr>
          <w:sz w:val="20"/>
          <w:szCs w:val="20"/>
        </w:rPr>
        <w:t xml:space="preserve">focused </w:t>
      </w:r>
      <w:r w:rsidR="003944AE" w:rsidRPr="001C65EE">
        <w:rPr>
          <w:sz w:val="20"/>
          <w:szCs w:val="20"/>
        </w:rPr>
        <w:t xml:space="preserve">after-visit summary. </w:t>
      </w:r>
      <w:r w:rsidR="00CD612B" w:rsidRPr="001C65EE">
        <w:rPr>
          <w:sz w:val="20"/>
          <w:szCs w:val="20"/>
        </w:rPr>
        <w:t xml:space="preserve">A reproduction of this study on a larger sample size </w:t>
      </w:r>
      <w:proofErr w:type="gramStart"/>
      <w:r w:rsidR="00CD612B" w:rsidRPr="001C65EE">
        <w:rPr>
          <w:sz w:val="20"/>
          <w:szCs w:val="20"/>
        </w:rPr>
        <w:t>is indicated</w:t>
      </w:r>
      <w:proofErr w:type="gramEnd"/>
      <w:r w:rsidR="00CD612B" w:rsidRPr="001C65EE">
        <w:rPr>
          <w:sz w:val="20"/>
          <w:szCs w:val="20"/>
        </w:rPr>
        <w:t xml:space="preserve"> to further test the hypothesis that </w:t>
      </w:r>
      <w:r w:rsidR="00741EDE">
        <w:rPr>
          <w:sz w:val="20"/>
          <w:szCs w:val="20"/>
        </w:rPr>
        <w:t xml:space="preserve">an </w:t>
      </w:r>
      <w:r w:rsidR="00CD612B" w:rsidRPr="001C65EE">
        <w:rPr>
          <w:sz w:val="20"/>
          <w:szCs w:val="20"/>
        </w:rPr>
        <w:t>after-visit summary is an effective tool in treating patient</w:t>
      </w:r>
      <w:r w:rsidR="00911341">
        <w:rPr>
          <w:sz w:val="20"/>
          <w:szCs w:val="20"/>
        </w:rPr>
        <w:t>s</w:t>
      </w:r>
      <w:r w:rsidR="00CD612B" w:rsidRPr="001C65EE">
        <w:rPr>
          <w:sz w:val="20"/>
          <w:szCs w:val="20"/>
        </w:rPr>
        <w:t xml:space="preserve"> diagnosed with pre-diabetes. </w:t>
      </w:r>
    </w:p>
    <w:p w14:paraId="7EA7B66D" w14:textId="7E402656" w:rsidR="003944AE" w:rsidRPr="001C65EE" w:rsidRDefault="00483489" w:rsidP="001C65EE">
      <w:pPr>
        <w:spacing w:after="0" w:afterAutospacing="0" w:line="240" w:lineRule="auto"/>
        <w:ind w:firstLine="0"/>
        <w:contextualSpacing/>
        <w:mirrorIndents/>
        <w:jc w:val="both"/>
        <w:rPr>
          <w:sz w:val="20"/>
          <w:szCs w:val="20"/>
        </w:rPr>
      </w:pPr>
      <w:r w:rsidRPr="001C65EE">
        <w:rPr>
          <w:b/>
          <w:bCs/>
          <w:sz w:val="20"/>
          <w:szCs w:val="20"/>
        </w:rPr>
        <w:t>Implications</w:t>
      </w:r>
      <w:r w:rsidR="00BF2A0B" w:rsidRPr="001C65EE">
        <w:rPr>
          <w:b/>
          <w:bCs/>
          <w:sz w:val="20"/>
          <w:szCs w:val="20"/>
        </w:rPr>
        <w:t>:</w:t>
      </w:r>
      <w:r w:rsidR="00BF2A0B" w:rsidRPr="001C65EE">
        <w:rPr>
          <w:bCs/>
          <w:sz w:val="20"/>
          <w:szCs w:val="20"/>
        </w:rPr>
        <w:t xml:space="preserve"> </w:t>
      </w:r>
      <w:r w:rsidR="003944AE" w:rsidRPr="001C65EE">
        <w:rPr>
          <w:sz w:val="20"/>
          <w:szCs w:val="20"/>
        </w:rPr>
        <w:t>Early diagnosis of pre-diabetes and</w:t>
      </w:r>
      <w:r w:rsidR="00CD612B" w:rsidRPr="001C65EE">
        <w:rPr>
          <w:sz w:val="20"/>
          <w:szCs w:val="20"/>
        </w:rPr>
        <w:t xml:space="preserve"> the implementation of diet and lifestyle changes </w:t>
      </w:r>
      <w:proofErr w:type="gramStart"/>
      <w:r w:rsidR="00CD612B" w:rsidRPr="001C65EE">
        <w:rPr>
          <w:sz w:val="20"/>
          <w:szCs w:val="20"/>
        </w:rPr>
        <w:t>has been shown</w:t>
      </w:r>
      <w:proofErr w:type="gramEnd"/>
      <w:r w:rsidR="00CD612B" w:rsidRPr="001C65EE">
        <w:rPr>
          <w:sz w:val="20"/>
          <w:szCs w:val="20"/>
        </w:rPr>
        <w:t xml:space="preserve"> to reverse prediabetes and in some cases prevent the </w:t>
      </w:r>
      <w:r w:rsidR="00A455B3">
        <w:rPr>
          <w:sz w:val="20"/>
          <w:szCs w:val="20"/>
        </w:rPr>
        <w:t xml:space="preserve">progression </w:t>
      </w:r>
      <w:r w:rsidR="00CD612B" w:rsidRPr="001C65EE">
        <w:rPr>
          <w:sz w:val="20"/>
          <w:szCs w:val="20"/>
        </w:rPr>
        <w:t xml:space="preserve">to type II diabetes. This study suggests that a </w:t>
      </w:r>
      <w:r w:rsidR="003944AE" w:rsidRPr="001C65EE">
        <w:rPr>
          <w:sz w:val="20"/>
          <w:szCs w:val="20"/>
        </w:rPr>
        <w:t>focused</w:t>
      </w:r>
      <w:r w:rsidR="007828D6">
        <w:rPr>
          <w:sz w:val="20"/>
          <w:szCs w:val="20"/>
        </w:rPr>
        <w:t xml:space="preserve"> </w:t>
      </w:r>
      <w:r w:rsidR="007828D6" w:rsidRPr="007828D6">
        <w:rPr>
          <w:sz w:val="20"/>
          <w:szCs w:val="20"/>
        </w:rPr>
        <w:t>after-visit summary including</w:t>
      </w:r>
      <w:r w:rsidR="00CD612B" w:rsidRPr="001C65EE">
        <w:rPr>
          <w:sz w:val="20"/>
          <w:szCs w:val="20"/>
        </w:rPr>
        <w:t xml:space="preserve"> patient education on the disease could be an option for reducing the epidemic of type II diabetes.</w:t>
      </w:r>
      <w:r w:rsidR="008334D1">
        <w:rPr>
          <w:sz w:val="20"/>
          <w:szCs w:val="20"/>
        </w:rPr>
        <w:t xml:space="preserve"> </w:t>
      </w:r>
    </w:p>
    <w:p w14:paraId="66857B84" w14:textId="77777777" w:rsidR="007E446C" w:rsidRPr="001C65EE" w:rsidRDefault="007E446C" w:rsidP="001C65EE">
      <w:pPr>
        <w:spacing w:after="0" w:afterAutospacing="0" w:line="240" w:lineRule="auto"/>
        <w:ind w:firstLine="0"/>
        <w:contextualSpacing/>
        <w:mirrorIndents/>
        <w:jc w:val="both"/>
        <w:rPr>
          <w:sz w:val="20"/>
          <w:szCs w:val="20"/>
        </w:rPr>
      </w:pPr>
    </w:p>
    <w:p w14:paraId="3896CFAB" w14:textId="17219706" w:rsidR="00483489" w:rsidRPr="001C65EE" w:rsidRDefault="00483489" w:rsidP="001C65EE">
      <w:pPr>
        <w:spacing w:after="0" w:afterAutospacing="0" w:line="240" w:lineRule="auto"/>
        <w:ind w:firstLine="0"/>
        <w:contextualSpacing/>
        <w:mirrorIndents/>
        <w:jc w:val="both"/>
        <w:rPr>
          <w:sz w:val="20"/>
          <w:szCs w:val="20"/>
        </w:rPr>
      </w:pPr>
      <w:r w:rsidRPr="00A571B2">
        <w:rPr>
          <w:b/>
          <w:bCs/>
          <w:sz w:val="22"/>
          <w:szCs w:val="20"/>
        </w:rPr>
        <w:t>Keywords:</w:t>
      </w:r>
      <w:r w:rsidRPr="001C65EE">
        <w:rPr>
          <w:sz w:val="20"/>
          <w:szCs w:val="20"/>
        </w:rPr>
        <w:t xml:space="preserve"> </w:t>
      </w:r>
      <w:r w:rsidR="003C4B58">
        <w:rPr>
          <w:sz w:val="20"/>
          <w:szCs w:val="20"/>
        </w:rPr>
        <w:t xml:space="preserve">After-visit summary; </w:t>
      </w:r>
      <w:r w:rsidRPr="001C65EE">
        <w:rPr>
          <w:sz w:val="20"/>
          <w:szCs w:val="20"/>
        </w:rPr>
        <w:t>Pre</w:t>
      </w:r>
      <w:r w:rsidR="00CD612B" w:rsidRPr="001C65EE">
        <w:rPr>
          <w:sz w:val="20"/>
          <w:szCs w:val="20"/>
        </w:rPr>
        <w:t>-</w:t>
      </w:r>
      <w:r w:rsidR="003C4B58">
        <w:rPr>
          <w:sz w:val="20"/>
          <w:szCs w:val="20"/>
        </w:rPr>
        <w:t xml:space="preserve">diabetes; </w:t>
      </w:r>
      <w:r w:rsidR="00CD612B" w:rsidRPr="001C65EE">
        <w:rPr>
          <w:sz w:val="20"/>
          <w:szCs w:val="20"/>
        </w:rPr>
        <w:t xml:space="preserve">Pre-diabetes </w:t>
      </w:r>
      <w:r w:rsidR="003C4B58">
        <w:rPr>
          <w:sz w:val="20"/>
          <w:szCs w:val="20"/>
        </w:rPr>
        <w:t xml:space="preserve">comprehension; </w:t>
      </w:r>
      <w:r w:rsidR="002639F3">
        <w:rPr>
          <w:sz w:val="20"/>
          <w:szCs w:val="20"/>
        </w:rPr>
        <w:t>P</w:t>
      </w:r>
      <w:r w:rsidR="00CD612B" w:rsidRPr="001C65EE">
        <w:rPr>
          <w:sz w:val="20"/>
          <w:szCs w:val="20"/>
        </w:rPr>
        <w:t>atient education</w:t>
      </w:r>
      <w:r w:rsidRPr="001C65EE">
        <w:rPr>
          <w:sz w:val="20"/>
          <w:szCs w:val="20"/>
        </w:rPr>
        <w:t xml:space="preserve"> </w:t>
      </w:r>
    </w:p>
    <w:p w14:paraId="36653504" w14:textId="77777777" w:rsidR="004A1187" w:rsidRPr="001C65EE" w:rsidRDefault="004A1187" w:rsidP="001C65EE">
      <w:pPr>
        <w:spacing w:after="0" w:afterAutospacing="0" w:line="240" w:lineRule="auto"/>
        <w:ind w:firstLine="0"/>
        <w:contextualSpacing/>
        <w:mirrorIndents/>
        <w:jc w:val="both"/>
        <w:rPr>
          <w:sz w:val="20"/>
          <w:szCs w:val="20"/>
        </w:rPr>
      </w:pPr>
    </w:p>
    <w:p w14:paraId="2184BF82" w14:textId="11DD74B8" w:rsidR="007E446C" w:rsidRDefault="00463222" w:rsidP="001C65EE">
      <w:pPr>
        <w:spacing w:after="0" w:afterAutospacing="0" w:line="240" w:lineRule="auto"/>
        <w:ind w:firstLine="0"/>
        <w:contextualSpacing/>
        <w:mirrorIndents/>
        <w:jc w:val="both"/>
        <w:rPr>
          <w:b/>
          <w:bCs/>
          <w:sz w:val="20"/>
          <w:szCs w:val="20"/>
        </w:rPr>
      </w:pPr>
      <w:r w:rsidRPr="00CD0966">
        <w:rPr>
          <w:b/>
          <w:bCs/>
          <w:sz w:val="22"/>
          <w:szCs w:val="20"/>
        </w:rPr>
        <w:t>Introduction</w:t>
      </w:r>
    </w:p>
    <w:p w14:paraId="77D36825" w14:textId="77777777" w:rsidR="00463222" w:rsidRPr="00463222" w:rsidRDefault="00463222" w:rsidP="001C65EE">
      <w:pPr>
        <w:spacing w:after="0" w:afterAutospacing="0" w:line="240" w:lineRule="auto"/>
        <w:ind w:firstLine="0"/>
        <w:contextualSpacing/>
        <w:mirrorIndents/>
        <w:jc w:val="both"/>
        <w:rPr>
          <w:sz w:val="20"/>
          <w:szCs w:val="20"/>
        </w:rPr>
      </w:pPr>
    </w:p>
    <w:p w14:paraId="6F555B9E" w14:textId="4029C8CC" w:rsidR="00F2527B" w:rsidRDefault="004A1187" w:rsidP="001C65EE">
      <w:pPr>
        <w:spacing w:after="0" w:afterAutospacing="0" w:line="240" w:lineRule="auto"/>
        <w:ind w:firstLine="0"/>
        <w:contextualSpacing/>
        <w:mirrorIndents/>
        <w:jc w:val="both"/>
        <w:rPr>
          <w:sz w:val="20"/>
          <w:szCs w:val="20"/>
        </w:rPr>
      </w:pPr>
      <w:r w:rsidRPr="001C65EE">
        <w:rPr>
          <w:sz w:val="20"/>
          <w:szCs w:val="20"/>
        </w:rPr>
        <w:t xml:space="preserve">The incidence of prediabetes is rising exponentially across the globe resulting in an epidemic. The current estimate of prediabetes in the world is 7.5% and </w:t>
      </w:r>
      <w:proofErr w:type="gramStart"/>
      <w:r w:rsidRPr="001C65EE">
        <w:rPr>
          <w:sz w:val="20"/>
          <w:szCs w:val="20"/>
        </w:rPr>
        <w:t>is expected</w:t>
      </w:r>
      <w:proofErr w:type="gramEnd"/>
      <w:r w:rsidRPr="001C65EE">
        <w:rPr>
          <w:sz w:val="20"/>
          <w:szCs w:val="20"/>
        </w:rPr>
        <w:t xml:space="preserve"> to rise to 8.4%, affecting 548 million people of the world’s adult population by 2045 </w:t>
      </w:r>
      <w:r w:rsidR="008C2FBE" w:rsidRPr="001C65EE">
        <w:rPr>
          <w:color w:val="FF0000"/>
          <w:sz w:val="20"/>
          <w:szCs w:val="20"/>
        </w:rPr>
        <w:t>[1]</w:t>
      </w:r>
      <w:r w:rsidRPr="001C65EE">
        <w:rPr>
          <w:sz w:val="20"/>
          <w:szCs w:val="20"/>
        </w:rPr>
        <w:t xml:space="preserve">. By comparison, in 2014 37% of the population in the United States had prediabetes </w:t>
      </w:r>
      <w:r w:rsidR="00A43CF4" w:rsidRPr="001C65EE">
        <w:rPr>
          <w:color w:val="FF0000"/>
          <w:sz w:val="20"/>
          <w:szCs w:val="20"/>
        </w:rPr>
        <w:t>[2]</w:t>
      </w:r>
      <w:r w:rsidRPr="001C65EE">
        <w:rPr>
          <w:sz w:val="20"/>
          <w:szCs w:val="20"/>
        </w:rPr>
        <w:t xml:space="preserve">. The rising prevalence is multifactorial and </w:t>
      </w:r>
      <w:proofErr w:type="gramStart"/>
      <w:r w:rsidRPr="001C65EE">
        <w:rPr>
          <w:sz w:val="20"/>
          <w:szCs w:val="20"/>
        </w:rPr>
        <w:t>8</w:t>
      </w:r>
      <w:proofErr w:type="gramEnd"/>
      <w:r w:rsidRPr="001C65EE">
        <w:rPr>
          <w:sz w:val="20"/>
          <w:szCs w:val="20"/>
        </w:rPr>
        <w:t xml:space="preserve"> of 10 people are unaware they hav</w:t>
      </w:r>
      <w:r w:rsidR="007B06E0">
        <w:rPr>
          <w:sz w:val="20"/>
          <w:szCs w:val="20"/>
        </w:rPr>
        <w:t xml:space="preserve">e this serious health condition </w:t>
      </w:r>
      <w:r w:rsidR="00A43CF4" w:rsidRPr="001C65EE">
        <w:rPr>
          <w:color w:val="FF0000"/>
          <w:sz w:val="20"/>
          <w:szCs w:val="20"/>
        </w:rPr>
        <w:t>[2]</w:t>
      </w:r>
      <w:r w:rsidRPr="001C65EE">
        <w:rPr>
          <w:sz w:val="20"/>
          <w:szCs w:val="20"/>
        </w:rPr>
        <w:t xml:space="preserve">. Individuals with prediabetes are 5-15 times more likely to develop type II diabetes (T2D) resulting in increased complications such as cardiovascular disease, kidney disease, liver disease, obesity, cancer, or death </w:t>
      </w:r>
      <w:r w:rsidR="00F7622C" w:rsidRPr="001C65EE">
        <w:rPr>
          <w:color w:val="FF0000"/>
          <w:sz w:val="20"/>
          <w:szCs w:val="20"/>
        </w:rPr>
        <w:t>[3]</w:t>
      </w:r>
      <w:r w:rsidRPr="001C65EE">
        <w:rPr>
          <w:sz w:val="20"/>
          <w:szCs w:val="20"/>
        </w:rPr>
        <w:t xml:space="preserve">. Prediabetes affects an estimated 86 million people in the United States </w:t>
      </w:r>
      <w:r w:rsidR="00F7622C" w:rsidRPr="001C65EE">
        <w:rPr>
          <w:color w:val="FF0000"/>
          <w:sz w:val="20"/>
          <w:szCs w:val="20"/>
        </w:rPr>
        <w:t>[3]</w:t>
      </w:r>
      <w:r w:rsidRPr="001C65EE">
        <w:rPr>
          <w:sz w:val="20"/>
          <w:szCs w:val="20"/>
        </w:rPr>
        <w:t xml:space="preserve">. Individuals are often unaware of the </w:t>
      </w:r>
      <w:r w:rsidRPr="001C65EE">
        <w:rPr>
          <w:sz w:val="20"/>
          <w:szCs w:val="20"/>
        </w:rPr>
        <w:lastRenderedPageBreak/>
        <w:t xml:space="preserve">condition due to the absence of physical symptoms resulting in delayed identification. Undiagnosed prediabetes prevalence is expected to rise from affecting every 8 in 1,000 individuals in 2008 to affecting every 15 in 1,000 individuals by 2050 </w:t>
      </w:r>
      <w:r w:rsidR="00014C92" w:rsidRPr="001C65EE">
        <w:rPr>
          <w:color w:val="FF0000"/>
          <w:sz w:val="20"/>
          <w:szCs w:val="20"/>
        </w:rPr>
        <w:t>[2]</w:t>
      </w:r>
      <w:r w:rsidRPr="001C65EE">
        <w:rPr>
          <w:sz w:val="20"/>
          <w:szCs w:val="20"/>
        </w:rPr>
        <w:t>.</w:t>
      </w:r>
    </w:p>
    <w:p w14:paraId="1DA789C0" w14:textId="77777777" w:rsidR="00610335" w:rsidRPr="001C65EE" w:rsidRDefault="00610335" w:rsidP="001C65EE">
      <w:pPr>
        <w:spacing w:after="0" w:afterAutospacing="0" w:line="240" w:lineRule="auto"/>
        <w:ind w:firstLine="0"/>
        <w:contextualSpacing/>
        <w:mirrorIndents/>
        <w:jc w:val="both"/>
        <w:rPr>
          <w:sz w:val="20"/>
          <w:szCs w:val="20"/>
        </w:rPr>
      </w:pPr>
    </w:p>
    <w:p w14:paraId="42D7461C" w14:textId="386DD5F8" w:rsidR="00537432" w:rsidRPr="001C65EE" w:rsidRDefault="00537432" w:rsidP="001C65EE">
      <w:pPr>
        <w:spacing w:after="0" w:afterAutospacing="0" w:line="240" w:lineRule="auto"/>
        <w:ind w:firstLine="0"/>
        <w:contextualSpacing/>
        <w:mirrorIndents/>
        <w:jc w:val="both"/>
        <w:rPr>
          <w:sz w:val="20"/>
          <w:szCs w:val="20"/>
        </w:rPr>
      </w:pPr>
      <w:r w:rsidRPr="001C65EE">
        <w:rPr>
          <w:sz w:val="20"/>
          <w:szCs w:val="20"/>
        </w:rPr>
        <w:t>Clinicians need to be astute in assessing risk factors for developing prediabetes in their patients.</w:t>
      </w:r>
      <w:r w:rsidR="0014619E" w:rsidRPr="001C65EE">
        <w:rPr>
          <w:sz w:val="20"/>
          <w:szCs w:val="20"/>
        </w:rPr>
        <w:t xml:space="preserve"> </w:t>
      </w:r>
      <w:proofErr w:type="spellStart"/>
      <w:r w:rsidR="0014619E" w:rsidRPr="001C65EE">
        <w:rPr>
          <w:sz w:val="20"/>
          <w:szCs w:val="20"/>
        </w:rPr>
        <w:t>Liebman</w:t>
      </w:r>
      <w:proofErr w:type="spellEnd"/>
      <w:r w:rsidR="0014619E" w:rsidRPr="001C65EE">
        <w:rPr>
          <w:sz w:val="20"/>
          <w:szCs w:val="20"/>
        </w:rPr>
        <w:t xml:space="preserve">, Phillips, and </w:t>
      </w:r>
      <w:proofErr w:type="spellStart"/>
      <w:r w:rsidR="0014619E" w:rsidRPr="001C65EE">
        <w:rPr>
          <w:sz w:val="20"/>
          <w:szCs w:val="20"/>
        </w:rPr>
        <w:t>VenHuizen</w:t>
      </w:r>
      <w:proofErr w:type="spellEnd"/>
      <w:r w:rsidR="0014619E" w:rsidRPr="001C65EE">
        <w:rPr>
          <w:sz w:val="20"/>
          <w:szCs w:val="20"/>
        </w:rPr>
        <w:t xml:space="preserve"> </w:t>
      </w:r>
      <w:r w:rsidR="009006AF" w:rsidRPr="001C65EE">
        <w:rPr>
          <w:color w:val="FF0000"/>
          <w:sz w:val="20"/>
          <w:szCs w:val="20"/>
        </w:rPr>
        <w:t>[3,4</w:t>
      </w:r>
      <w:r w:rsidR="0014619E" w:rsidRPr="001C65EE">
        <w:rPr>
          <w:color w:val="FF0000"/>
          <w:sz w:val="20"/>
          <w:szCs w:val="20"/>
        </w:rPr>
        <w:t>,5</w:t>
      </w:r>
      <w:r w:rsidR="009006AF" w:rsidRPr="001C65EE">
        <w:rPr>
          <w:color w:val="FF0000"/>
          <w:sz w:val="20"/>
          <w:szCs w:val="20"/>
        </w:rPr>
        <w:t>]</w:t>
      </w:r>
      <w:r w:rsidRPr="001C65EE">
        <w:rPr>
          <w:sz w:val="20"/>
          <w:szCs w:val="20"/>
        </w:rPr>
        <w:t xml:space="preserve"> identify physical inactivity, poor diet, age 45 years or older, obstructive sleep apnea (OSA), smoking, gestational diabetes, and having a first-degree relative with diabetes as risk factors for developing T2D. Additional risk factors include conditions associated with obesity such as low high-density lipoprotein (HDL) cholesterol, elevated triglycerides above 250mg/</w:t>
      </w:r>
      <w:proofErr w:type="spellStart"/>
      <w:r w:rsidRPr="001C65EE">
        <w:rPr>
          <w:sz w:val="20"/>
          <w:szCs w:val="20"/>
        </w:rPr>
        <w:t>dL</w:t>
      </w:r>
      <w:proofErr w:type="spellEnd"/>
      <w:r w:rsidRPr="001C65EE">
        <w:rPr>
          <w:sz w:val="20"/>
          <w:szCs w:val="20"/>
        </w:rPr>
        <w:t xml:space="preserve">, and hypertension </w:t>
      </w:r>
      <w:r w:rsidR="0014619E" w:rsidRPr="001C65EE">
        <w:rPr>
          <w:color w:val="FF0000"/>
          <w:sz w:val="20"/>
          <w:szCs w:val="20"/>
        </w:rPr>
        <w:t>[5]</w:t>
      </w:r>
      <w:r w:rsidRPr="001C65EE">
        <w:rPr>
          <w:sz w:val="20"/>
          <w:szCs w:val="20"/>
        </w:rPr>
        <w:t xml:space="preserve">. Without obvious symptoms, patients may not ask their providers about screening. In fact, 75% of patients who fit the diagnostic criteria </w:t>
      </w:r>
      <w:proofErr w:type="gramStart"/>
      <w:r w:rsidRPr="001C65EE">
        <w:rPr>
          <w:sz w:val="20"/>
          <w:szCs w:val="20"/>
        </w:rPr>
        <w:t>weren’t</w:t>
      </w:r>
      <w:proofErr w:type="gramEnd"/>
      <w:r w:rsidRPr="001C65EE">
        <w:rPr>
          <w:sz w:val="20"/>
          <w:szCs w:val="20"/>
        </w:rPr>
        <w:t xml:space="preserve"> diagnosed or treated for the condition </w:t>
      </w:r>
      <w:r w:rsidR="00F7622C" w:rsidRPr="001C65EE">
        <w:rPr>
          <w:color w:val="FF0000"/>
          <w:sz w:val="20"/>
          <w:szCs w:val="20"/>
        </w:rPr>
        <w:t>[3]</w:t>
      </w:r>
      <w:r w:rsidRPr="001C65EE">
        <w:rPr>
          <w:sz w:val="20"/>
          <w:szCs w:val="20"/>
        </w:rPr>
        <w:t>.</w:t>
      </w:r>
    </w:p>
    <w:p w14:paraId="3C9D2E97" w14:textId="77777777" w:rsidR="00F2527B" w:rsidRPr="001C65EE" w:rsidRDefault="00F2527B" w:rsidP="001C65EE">
      <w:pPr>
        <w:spacing w:after="0" w:afterAutospacing="0" w:line="240" w:lineRule="auto"/>
        <w:ind w:firstLine="0"/>
        <w:contextualSpacing/>
        <w:mirrorIndents/>
        <w:jc w:val="both"/>
        <w:rPr>
          <w:sz w:val="20"/>
          <w:szCs w:val="20"/>
        </w:rPr>
      </w:pPr>
    </w:p>
    <w:p w14:paraId="10CE5F75" w14:textId="67992946" w:rsidR="0015555E" w:rsidRPr="001C65EE" w:rsidRDefault="0015555E" w:rsidP="001C65EE">
      <w:pPr>
        <w:spacing w:after="0" w:afterAutospacing="0" w:line="240" w:lineRule="auto"/>
        <w:ind w:firstLine="0"/>
        <w:contextualSpacing/>
        <w:mirrorIndents/>
        <w:jc w:val="both"/>
        <w:rPr>
          <w:sz w:val="20"/>
          <w:szCs w:val="20"/>
        </w:rPr>
      </w:pPr>
      <w:r w:rsidRPr="001C65EE">
        <w:rPr>
          <w:sz w:val="20"/>
          <w:szCs w:val="20"/>
        </w:rPr>
        <w:t xml:space="preserve">With disease prevention and health promotion </w:t>
      </w:r>
      <w:r w:rsidR="00480AD9">
        <w:rPr>
          <w:sz w:val="20"/>
          <w:szCs w:val="20"/>
        </w:rPr>
        <w:t xml:space="preserve">as </w:t>
      </w:r>
      <w:r w:rsidRPr="001C65EE">
        <w:rPr>
          <w:sz w:val="20"/>
          <w:szCs w:val="20"/>
        </w:rPr>
        <w:t xml:space="preserve">primary goals for patient care, this inquiry sought to evaluate whether implementing a standardized </w:t>
      </w:r>
      <w:r w:rsidR="00DD27E7" w:rsidRPr="001C65EE">
        <w:rPr>
          <w:sz w:val="20"/>
          <w:szCs w:val="20"/>
        </w:rPr>
        <w:t xml:space="preserve">After-Visit Summary </w:t>
      </w:r>
      <w:r w:rsidRPr="001C65EE">
        <w:rPr>
          <w:sz w:val="20"/>
          <w:szCs w:val="20"/>
        </w:rPr>
        <w:t xml:space="preserve">(AVS) could assist in addressing the global epidemic of prediabetes by providing patients with knowledge and tools to understand the diet and lifestyle modifications necessary to halt or reverse the progression of prediabetes to T2D. </w:t>
      </w:r>
    </w:p>
    <w:p w14:paraId="2D2D295E" w14:textId="77777777" w:rsidR="00F2527B" w:rsidRPr="001C65EE" w:rsidRDefault="00F2527B" w:rsidP="001C65EE">
      <w:pPr>
        <w:spacing w:after="0" w:afterAutospacing="0" w:line="240" w:lineRule="auto"/>
        <w:ind w:firstLine="0"/>
        <w:contextualSpacing/>
        <w:mirrorIndents/>
        <w:jc w:val="both"/>
        <w:rPr>
          <w:sz w:val="20"/>
          <w:szCs w:val="20"/>
        </w:rPr>
      </w:pPr>
    </w:p>
    <w:p w14:paraId="56F9A491" w14:textId="58A374A8" w:rsidR="00F2527B" w:rsidRDefault="0093465D" w:rsidP="001C65EE">
      <w:pPr>
        <w:spacing w:after="0" w:afterAutospacing="0" w:line="240" w:lineRule="auto"/>
        <w:ind w:firstLine="0"/>
        <w:contextualSpacing/>
        <w:mirrorIndents/>
        <w:jc w:val="both"/>
        <w:rPr>
          <w:b/>
          <w:bCs/>
          <w:sz w:val="20"/>
          <w:szCs w:val="20"/>
        </w:rPr>
      </w:pPr>
      <w:r w:rsidRPr="00492A9C">
        <w:rPr>
          <w:b/>
          <w:bCs/>
          <w:sz w:val="22"/>
          <w:szCs w:val="20"/>
        </w:rPr>
        <w:t>After-visit Summary</w:t>
      </w:r>
    </w:p>
    <w:p w14:paraId="11BF29C0" w14:textId="77777777" w:rsidR="0093465D" w:rsidRPr="0093465D" w:rsidRDefault="0093465D" w:rsidP="001C65EE">
      <w:pPr>
        <w:spacing w:after="0" w:afterAutospacing="0" w:line="240" w:lineRule="auto"/>
        <w:ind w:firstLine="0"/>
        <w:contextualSpacing/>
        <w:mirrorIndents/>
        <w:jc w:val="both"/>
        <w:rPr>
          <w:sz w:val="20"/>
          <w:szCs w:val="20"/>
        </w:rPr>
      </w:pPr>
    </w:p>
    <w:p w14:paraId="758A867B" w14:textId="7B263A98" w:rsidR="0015555E" w:rsidRPr="001C65EE" w:rsidRDefault="00021C44" w:rsidP="001C65EE">
      <w:pPr>
        <w:spacing w:after="0" w:afterAutospacing="0" w:line="240" w:lineRule="auto"/>
        <w:ind w:firstLine="0"/>
        <w:contextualSpacing/>
        <w:mirrorIndents/>
        <w:jc w:val="both"/>
        <w:rPr>
          <w:sz w:val="20"/>
          <w:szCs w:val="20"/>
        </w:rPr>
      </w:pPr>
      <w:r w:rsidRPr="00021C44">
        <w:rPr>
          <w:sz w:val="20"/>
          <w:szCs w:val="20"/>
        </w:rPr>
        <w:t>Providing an after</w:t>
      </w:r>
      <w:r w:rsidR="00FD6C81" w:rsidRPr="001C65EE">
        <w:rPr>
          <w:sz w:val="20"/>
          <w:szCs w:val="20"/>
        </w:rPr>
        <w:t>-visit summary at the conclusion of a clinical encounter</w:t>
      </w:r>
      <w:r w:rsidR="0015555E" w:rsidRPr="001C65EE">
        <w:rPr>
          <w:sz w:val="20"/>
          <w:szCs w:val="20"/>
        </w:rPr>
        <w:t xml:space="preserve"> gained popularit</w:t>
      </w:r>
      <w:r w:rsidR="00FD6C81" w:rsidRPr="001C65EE">
        <w:rPr>
          <w:sz w:val="20"/>
          <w:szCs w:val="20"/>
        </w:rPr>
        <w:t xml:space="preserve">y when the use became </w:t>
      </w:r>
      <w:proofErr w:type="gramStart"/>
      <w:r w:rsidR="00FD6C81" w:rsidRPr="001C65EE">
        <w:rPr>
          <w:sz w:val="20"/>
          <w:szCs w:val="20"/>
        </w:rPr>
        <w:t>wide-spread</w:t>
      </w:r>
      <w:proofErr w:type="gramEnd"/>
      <w:r w:rsidR="0015555E" w:rsidRPr="001C65EE">
        <w:rPr>
          <w:sz w:val="20"/>
          <w:szCs w:val="20"/>
        </w:rPr>
        <w:t xml:space="preserve"> due to the Medicare and Medicaid electronic health record (EHR) Meaningful Use (MU) program. The program aimed to improve the delivery of care and enhance patient-centeredness. Although the MU requirement ceased in 2016, AVS </w:t>
      </w:r>
      <w:r w:rsidR="00FD6C81" w:rsidRPr="001C65EE">
        <w:rPr>
          <w:sz w:val="20"/>
          <w:szCs w:val="20"/>
        </w:rPr>
        <w:t xml:space="preserve">popularity remained and </w:t>
      </w:r>
      <w:proofErr w:type="gramStart"/>
      <w:r w:rsidR="0015555E" w:rsidRPr="001C65EE">
        <w:rPr>
          <w:sz w:val="20"/>
          <w:szCs w:val="20"/>
        </w:rPr>
        <w:t xml:space="preserve">are </w:t>
      </w:r>
      <w:r w:rsidR="00FD6C81" w:rsidRPr="001C65EE">
        <w:rPr>
          <w:sz w:val="20"/>
          <w:szCs w:val="20"/>
        </w:rPr>
        <w:t>now consistently</w:t>
      </w:r>
      <w:r w:rsidR="0015555E" w:rsidRPr="001C65EE">
        <w:rPr>
          <w:sz w:val="20"/>
          <w:szCs w:val="20"/>
        </w:rPr>
        <w:t xml:space="preserve"> being utilized</w:t>
      </w:r>
      <w:proofErr w:type="gramEnd"/>
      <w:r w:rsidR="0015555E" w:rsidRPr="001C65EE">
        <w:rPr>
          <w:sz w:val="20"/>
          <w:szCs w:val="20"/>
        </w:rPr>
        <w:t xml:space="preserve"> to summarize an office visit and provide relevant and actionable information</w:t>
      </w:r>
      <w:r w:rsidR="00FD6C81" w:rsidRPr="001C65EE">
        <w:rPr>
          <w:sz w:val="20"/>
          <w:szCs w:val="20"/>
        </w:rPr>
        <w:t xml:space="preserve"> to patients</w:t>
      </w:r>
      <w:r w:rsidR="0015555E" w:rsidRPr="001C65EE">
        <w:rPr>
          <w:sz w:val="20"/>
          <w:szCs w:val="20"/>
        </w:rPr>
        <w:t xml:space="preserve">. The </w:t>
      </w:r>
      <w:r w:rsidR="00FD6C81" w:rsidRPr="001C65EE">
        <w:rPr>
          <w:sz w:val="20"/>
          <w:szCs w:val="20"/>
        </w:rPr>
        <w:t>AVS</w:t>
      </w:r>
      <w:r w:rsidR="0015555E" w:rsidRPr="001C65EE">
        <w:rPr>
          <w:sz w:val="20"/>
          <w:szCs w:val="20"/>
        </w:rPr>
        <w:t xml:space="preserve"> also acts as a method for communication to support continuity and care coordination </w:t>
      </w:r>
      <w:r w:rsidR="00F517DA" w:rsidRPr="001C65EE">
        <w:rPr>
          <w:color w:val="FF0000"/>
          <w:sz w:val="20"/>
          <w:szCs w:val="20"/>
        </w:rPr>
        <w:t>[6]</w:t>
      </w:r>
      <w:r w:rsidR="0015555E" w:rsidRPr="001C65EE">
        <w:rPr>
          <w:sz w:val="20"/>
          <w:szCs w:val="20"/>
        </w:rPr>
        <w:t xml:space="preserve">. </w:t>
      </w:r>
    </w:p>
    <w:p w14:paraId="10D4728E" w14:textId="77777777" w:rsidR="00F2527B" w:rsidRPr="001C65EE" w:rsidRDefault="00F2527B" w:rsidP="001C65EE">
      <w:pPr>
        <w:spacing w:after="0" w:afterAutospacing="0" w:line="240" w:lineRule="auto"/>
        <w:ind w:firstLine="0"/>
        <w:contextualSpacing/>
        <w:mirrorIndents/>
        <w:jc w:val="both"/>
        <w:rPr>
          <w:sz w:val="20"/>
          <w:szCs w:val="20"/>
        </w:rPr>
      </w:pPr>
    </w:p>
    <w:p w14:paraId="5E561EE9" w14:textId="280074F1" w:rsidR="0015555E" w:rsidRPr="001C65EE" w:rsidRDefault="0015555E" w:rsidP="001C65EE">
      <w:pPr>
        <w:spacing w:after="0" w:afterAutospacing="0" w:line="240" w:lineRule="auto"/>
        <w:ind w:firstLine="0"/>
        <w:contextualSpacing/>
        <w:mirrorIndents/>
        <w:jc w:val="both"/>
        <w:rPr>
          <w:sz w:val="20"/>
          <w:szCs w:val="20"/>
        </w:rPr>
      </w:pPr>
      <w:r w:rsidRPr="001C65EE">
        <w:rPr>
          <w:sz w:val="20"/>
          <w:szCs w:val="20"/>
        </w:rPr>
        <w:t>Patient satisfaction with AVS is generally high</w:t>
      </w:r>
      <w:r w:rsidR="00FD6C81" w:rsidRPr="001C65EE">
        <w:rPr>
          <w:sz w:val="20"/>
          <w:szCs w:val="20"/>
        </w:rPr>
        <w:t xml:space="preserve"> with o</w:t>
      </w:r>
      <w:r w:rsidRPr="001C65EE">
        <w:rPr>
          <w:sz w:val="20"/>
          <w:szCs w:val="20"/>
        </w:rPr>
        <w:t xml:space="preserve">ne study </w:t>
      </w:r>
      <w:r w:rsidR="00917006">
        <w:rPr>
          <w:sz w:val="20"/>
          <w:szCs w:val="20"/>
        </w:rPr>
        <w:t>reporting</w:t>
      </w:r>
      <w:r w:rsidRPr="001C65EE">
        <w:rPr>
          <w:sz w:val="20"/>
          <w:szCs w:val="20"/>
        </w:rPr>
        <w:t xml:space="preserve"> that 93% of those surveyed </w:t>
      </w:r>
      <w:r w:rsidR="00C40006">
        <w:rPr>
          <w:sz w:val="20"/>
          <w:szCs w:val="20"/>
        </w:rPr>
        <w:t>agreed</w:t>
      </w:r>
      <w:r w:rsidR="00887B8E">
        <w:rPr>
          <w:sz w:val="20"/>
          <w:szCs w:val="20"/>
        </w:rPr>
        <w:t xml:space="preserve"> the printed AVS was helpful </w:t>
      </w:r>
      <w:r w:rsidR="0091574B" w:rsidRPr="001C65EE">
        <w:rPr>
          <w:color w:val="FF0000"/>
          <w:sz w:val="20"/>
          <w:szCs w:val="20"/>
        </w:rPr>
        <w:t>[</w:t>
      </w:r>
      <w:proofErr w:type="gramStart"/>
      <w:r w:rsidR="0091574B" w:rsidRPr="001C65EE">
        <w:rPr>
          <w:color w:val="FF0000"/>
          <w:sz w:val="20"/>
          <w:szCs w:val="20"/>
        </w:rPr>
        <w:t>6</w:t>
      </w:r>
      <w:proofErr w:type="gramEnd"/>
      <w:r w:rsidR="004A1BE9">
        <w:rPr>
          <w:color w:val="FF0000"/>
          <w:sz w:val="20"/>
          <w:szCs w:val="20"/>
        </w:rPr>
        <w:t>]</w:t>
      </w:r>
      <w:r w:rsidR="006F4FBF" w:rsidRPr="00F429D5">
        <w:rPr>
          <w:sz w:val="20"/>
          <w:szCs w:val="20"/>
        </w:rPr>
        <w:t>.</w:t>
      </w:r>
      <w:r w:rsidR="000B32D7" w:rsidRPr="001C65EE">
        <w:rPr>
          <w:sz w:val="20"/>
          <w:szCs w:val="20"/>
        </w:rPr>
        <w:t xml:space="preserve"> </w:t>
      </w:r>
      <w:proofErr w:type="gramStart"/>
      <w:r w:rsidR="000B32D7" w:rsidRPr="001C65EE">
        <w:rPr>
          <w:sz w:val="20"/>
          <w:szCs w:val="20"/>
        </w:rPr>
        <w:t>Neuberger</w:t>
      </w:r>
      <w:r w:rsidRPr="001C65EE">
        <w:rPr>
          <w:sz w:val="20"/>
          <w:szCs w:val="20"/>
        </w:rPr>
        <w:t xml:space="preserve"> et al</w:t>
      </w:r>
      <w:r w:rsidR="0091574B">
        <w:rPr>
          <w:sz w:val="20"/>
          <w:szCs w:val="20"/>
        </w:rPr>
        <w:t xml:space="preserve">. </w:t>
      </w:r>
      <w:r w:rsidR="005A1C17" w:rsidRPr="001C65EE">
        <w:rPr>
          <w:color w:val="FF0000"/>
          <w:sz w:val="20"/>
          <w:szCs w:val="20"/>
        </w:rPr>
        <w:t>[</w:t>
      </w:r>
      <w:r w:rsidR="000B32D7" w:rsidRPr="001C65EE">
        <w:rPr>
          <w:color w:val="FF0000"/>
          <w:sz w:val="20"/>
          <w:szCs w:val="20"/>
        </w:rPr>
        <w:t>7]</w:t>
      </w:r>
      <w:r w:rsidRPr="001C65EE">
        <w:rPr>
          <w:color w:val="FF0000"/>
          <w:sz w:val="20"/>
          <w:szCs w:val="20"/>
        </w:rPr>
        <w:t xml:space="preserve"> </w:t>
      </w:r>
      <w:r w:rsidRPr="001C65EE">
        <w:rPr>
          <w:sz w:val="20"/>
          <w:szCs w:val="20"/>
        </w:rPr>
        <w:t>added that among those surveyed who received an AVS, 42% said they would keep the document without a specific intended purpose and 41% said they would review it at home or share it with their family members and healthcare providers.</w:t>
      </w:r>
      <w:proofErr w:type="gramEnd"/>
      <w:r w:rsidRPr="001C65EE">
        <w:rPr>
          <w:sz w:val="20"/>
          <w:szCs w:val="20"/>
        </w:rPr>
        <w:t xml:space="preserve"> The remaining 17% indicated no perceived value with the intention to discard the document </w:t>
      </w:r>
      <w:r w:rsidR="00337445">
        <w:rPr>
          <w:color w:val="FF0000"/>
          <w:sz w:val="20"/>
          <w:szCs w:val="20"/>
        </w:rPr>
        <w:t>[7</w:t>
      </w:r>
      <w:r w:rsidR="00F517DA" w:rsidRPr="001C65EE">
        <w:rPr>
          <w:color w:val="FF0000"/>
          <w:sz w:val="20"/>
          <w:szCs w:val="20"/>
        </w:rPr>
        <w:t>]</w:t>
      </w:r>
      <w:r w:rsidRPr="001C65EE">
        <w:rPr>
          <w:sz w:val="20"/>
          <w:szCs w:val="20"/>
        </w:rPr>
        <w:t xml:space="preserve">. </w:t>
      </w:r>
    </w:p>
    <w:p w14:paraId="1DFA2FFD" w14:textId="77777777" w:rsidR="00F2527B" w:rsidRPr="001C65EE" w:rsidRDefault="00F2527B" w:rsidP="001C65EE">
      <w:pPr>
        <w:spacing w:after="0" w:afterAutospacing="0" w:line="240" w:lineRule="auto"/>
        <w:ind w:firstLine="0"/>
        <w:contextualSpacing/>
        <w:mirrorIndents/>
        <w:jc w:val="both"/>
        <w:rPr>
          <w:sz w:val="20"/>
          <w:szCs w:val="20"/>
        </w:rPr>
      </w:pPr>
    </w:p>
    <w:p w14:paraId="1D313997" w14:textId="61C66ECD" w:rsidR="00CA0411" w:rsidRPr="001C65EE" w:rsidRDefault="00FD6C81" w:rsidP="001C65EE">
      <w:pPr>
        <w:spacing w:after="0" w:afterAutospacing="0" w:line="240" w:lineRule="auto"/>
        <w:ind w:firstLine="0"/>
        <w:contextualSpacing/>
        <w:mirrorIndents/>
        <w:jc w:val="both"/>
        <w:rPr>
          <w:sz w:val="20"/>
          <w:szCs w:val="20"/>
        </w:rPr>
      </w:pPr>
      <w:r w:rsidRPr="001C65EE">
        <w:rPr>
          <w:sz w:val="20"/>
          <w:szCs w:val="20"/>
        </w:rPr>
        <w:t>Laws et al.</w:t>
      </w:r>
      <w:r w:rsidRPr="001C65EE">
        <w:rPr>
          <w:color w:val="FF0000"/>
          <w:sz w:val="20"/>
          <w:szCs w:val="20"/>
        </w:rPr>
        <w:t xml:space="preserve"> </w:t>
      </w:r>
      <w:r w:rsidR="003E4852" w:rsidRPr="001C65EE">
        <w:rPr>
          <w:color w:val="FF0000"/>
          <w:sz w:val="20"/>
          <w:szCs w:val="20"/>
        </w:rPr>
        <w:t>[8]</w:t>
      </w:r>
      <w:r w:rsidRPr="001C65EE">
        <w:rPr>
          <w:sz w:val="20"/>
          <w:szCs w:val="20"/>
        </w:rPr>
        <w:t xml:space="preserve"> report patients have difficulty adhering to treatment plans when they do not understand or recall instructions during an office visit. It is therefore essential to increase patient recall with the use of verbal instruction at the time of a patient encounter, followed by written instructional materials that </w:t>
      </w:r>
      <w:proofErr w:type="gramStart"/>
      <w:r w:rsidRPr="001C65EE">
        <w:rPr>
          <w:sz w:val="20"/>
          <w:szCs w:val="20"/>
        </w:rPr>
        <w:t>can be referenced</w:t>
      </w:r>
      <w:proofErr w:type="gramEnd"/>
      <w:r w:rsidRPr="001C65EE">
        <w:rPr>
          <w:sz w:val="20"/>
          <w:szCs w:val="20"/>
        </w:rPr>
        <w:t xml:space="preserve"> after the visit. Prediabetes </w:t>
      </w:r>
      <w:proofErr w:type="gramStart"/>
      <w:r w:rsidRPr="001C65EE">
        <w:rPr>
          <w:sz w:val="20"/>
          <w:szCs w:val="20"/>
        </w:rPr>
        <w:t>has been shown</w:t>
      </w:r>
      <w:proofErr w:type="gramEnd"/>
      <w:r w:rsidRPr="001C65EE">
        <w:rPr>
          <w:sz w:val="20"/>
          <w:szCs w:val="20"/>
        </w:rPr>
        <w:t xml:space="preserve"> to be reversible with lifestyle and behavior modification, which require the patient to implement these strategies. The initial hypothesis of this study aimed to explore whether creating a focused patient education plan to </w:t>
      </w:r>
      <w:proofErr w:type="gramStart"/>
      <w:r w:rsidRPr="001C65EE">
        <w:rPr>
          <w:sz w:val="20"/>
          <w:szCs w:val="20"/>
        </w:rPr>
        <w:t>be distributed</w:t>
      </w:r>
      <w:proofErr w:type="gramEnd"/>
      <w:r w:rsidRPr="001C65EE">
        <w:rPr>
          <w:sz w:val="20"/>
          <w:szCs w:val="20"/>
        </w:rPr>
        <w:t xml:space="preserve"> in </w:t>
      </w:r>
      <w:r w:rsidR="008342AB">
        <w:rPr>
          <w:sz w:val="20"/>
          <w:szCs w:val="20"/>
        </w:rPr>
        <w:t>an</w:t>
      </w:r>
      <w:r w:rsidRPr="001C65EE">
        <w:rPr>
          <w:sz w:val="20"/>
          <w:szCs w:val="20"/>
        </w:rPr>
        <w:t xml:space="preserve"> AVS could increase patient knowledge </w:t>
      </w:r>
      <w:r w:rsidR="002103DC" w:rsidRPr="001C65EE">
        <w:rPr>
          <w:sz w:val="20"/>
          <w:szCs w:val="20"/>
        </w:rPr>
        <w:t>and comprehension of strategies</w:t>
      </w:r>
      <w:r w:rsidR="005F4D1B" w:rsidRPr="005F4D1B">
        <w:t xml:space="preserve"> </w:t>
      </w:r>
      <w:r w:rsidR="005F4D1B" w:rsidRPr="005F4D1B">
        <w:rPr>
          <w:sz w:val="20"/>
          <w:szCs w:val="20"/>
        </w:rPr>
        <w:t>necessary to reverse</w:t>
      </w:r>
      <w:r w:rsidR="002103DC" w:rsidRPr="001C65EE">
        <w:rPr>
          <w:sz w:val="20"/>
          <w:szCs w:val="20"/>
        </w:rPr>
        <w:t xml:space="preserve"> prediabetes.</w:t>
      </w:r>
      <w:r w:rsidR="008334D1">
        <w:rPr>
          <w:sz w:val="20"/>
          <w:szCs w:val="20"/>
        </w:rPr>
        <w:t xml:space="preserve"> </w:t>
      </w:r>
    </w:p>
    <w:p w14:paraId="50308927" w14:textId="77777777" w:rsidR="00F2527B" w:rsidRPr="001C65EE" w:rsidRDefault="00F2527B" w:rsidP="001C65EE">
      <w:pPr>
        <w:spacing w:after="0" w:afterAutospacing="0" w:line="240" w:lineRule="auto"/>
        <w:ind w:firstLine="0"/>
        <w:contextualSpacing/>
        <w:mirrorIndents/>
        <w:jc w:val="both"/>
        <w:rPr>
          <w:sz w:val="20"/>
          <w:szCs w:val="20"/>
        </w:rPr>
      </w:pPr>
    </w:p>
    <w:p w14:paraId="2BDE81FC" w14:textId="77777777" w:rsidR="00275CC5" w:rsidRDefault="00275CC5" w:rsidP="001C65EE">
      <w:pPr>
        <w:spacing w:after="0" w:afterAutospacing="0" w:line="240" w:lineRule="auto"/>
        <w:ind w:firstLine="0"/>
        <w:contextualSpacing/>
        <w:mirrorIndents/>
        <w:jc w:val="both"/>
        <w:rPr>
          <w:b/>
          <w:bCs/>
          <w:sz w:val="20"/>
          <w:szCs w:val="20"/>
        </w:rPr>
      </w:pPr>
      <w:r w:rsidRPr="00F8049A">
        <w:rPr>
          <w:b/>
          <w:bCs/>
          <w:sz w:val="22"/>
          <w:szCs w:val="20"/>
        </w:rPr>
        <w:t>Methodology</w:t>
      </w:r>
    </w:p>
    <w:p w14:paraId="4DF77DFA" w14:textId="651479C2" w:rsidR="00501252" w:rsidRPr="001C65EE" w:rsidRDefault="00F85321" w:rsidP="001C65EE">
      <w:pPr>
        <w:spacing w:after="0" w:afterAutospacing="0" w:line="240" w:lineRule="auto"/>
        <w:ind w:firstLine="0"/>
        <w:contextualSpacing/>
        <w:mirrorIndents/>
        <w:jc w:val="both"/>
        <w:rPr>
          <w:sz w:val="20"/>
          <w:szCs w:val="20"/>
        </w:rPr>
      </w:pPr>
      <w:r w:rsidRPr="001C65EE">
        <w:rPr>
          <w:sz w:val="20"/>
          <w:szCs w:val="20"/>
        </w:rPr>
        <w:br/>
        <w:t xml:space="preserve">The research question asks: Do newly diagnosed adults with prediabetes have an increased comprehension of the condition after providing teaching material </w:t>
      </w:r>
      <w:r w:rsidR="00A15A95">
        <w:rPr>
          <w:sz w:val="20"/>
          <w:szCs w:val="20"/>
        </w:rPr>
        <w:t>via</w:t>
      </w:r>
      <w:r w:rsidRPr="001C65EE">
        <w:rPr>
          <w:sz w:val="20"/>
          <w:szCs w:val="20"/>
        </w:rPr>
        <w:t xml:space="preserve"> an after-visit summary (AVS)</w:t>
      </w:r>
      <w:proofErr w:type="gramStart"/>
      <w:r w:rsidR="00A171A6">
        <w:rPr>
          <w:sz w:val="20"/>
          <w:szCs w:val="20"/>
        </w:rPr>
        <w:t>?</w:t>
      </w:r>
      <w:proofErr w:type="gramEnd"/>
      <w:r w:rsidR="00EB5068">
        <w:rPr>
          <w:sz w:val="20"/>
          <w:szCs w:val="20"/>
        </w:rPr>
        <w:t xml:space="preserve"> The study </w:t>
      </w:r>
      <w:r w:rsidR="00C11612">
        <w:rPr>
          <w:sz w:val="20"/>
          <w:szCs w:val="20"/>
        </w:rPr>
        <w:t>utilizes</w:t>
      </w:r>
      <w:r w:rsidR="00EB5068">
        <w:rPr>
          <w:sz w:val="20"/>
          <w:szCs w:val="20"/>
        </w:rPr>
        <w:t xml:space="preserve"> </w:t>
      </w:r>
      <w:r w:rsidRPr="001C65EE">
        <w:rPr>
          <w:sz w:val="20"/>
          <w:szCs w:val="20"/>
        </w:rPr>
        <w:t>a pretest-post-test inquiry to answer whether integrating this information in an AVS changes a patient</w:t>
      </w:r>
      <w:r w:rsidR="009C7D25" w:rsidRPr="001C65EE">
        <w:rPr>
          <w:sz w:val="20"/>
          <w:szCs w:val="20"/>
        </w:rPr>
        <w:t>’</w:t>
      </w:r>
      <w:r w:rsidRPr="001C65EE">
        <w:rPr>
          <w:sz w:val="20"/>
          <w:szCs w:val="20"/>
        </w:rPr>
        <w:t xml:space="preserve">s comprehension of prediabetes. </w:t>
      </w:r>
      <w:r w:rsidR="00501252" w:rsidRPr="001C65EE">
        <w:rPr>
          <w:sz w:val="20"/>
          <w:szCs w:val="20"/>
        </w:rPr>
        <w:t xml:space="preserve">The independent variable in this project was an AVS containing prediabetes information and guidelines while the dependent variable was prediabetes comprehension. This project </w:t>
      </w:r>
      <w:proofErr w:type="gramStart"/>
      <w:r w:rsidR="00501252" w:rsidRPr="001C65EE">
        <w:rPr>
          <w:sz w:val="20"/>
          <w:szCs w:val="20"/>
        </w:rPr>
        <w:t>was designed</w:t>
      </w:r>
      <w:proofErr w:type="gramEnd"/>
      <w:r w:rsidR="00501252" w:rsidRPr="001C65EE">
        <w:rPr>
          <w:sz w:val="20"/>
          <w:szCs w:val="20"/>
        </w:rPr>
        <w:t xml:space="preserve"> to utilize a single group and involved a pre-and post-test design. Pre-and post-data points assisted in determining if integrating an AVS was an effective approach to increase comprehension among patients with the same diagnosis.</w:t>
      </w:r>
    </w:p>
    <w:p w14:paraId="1F2EC337" w14:textId="77777777" w:rsidR="00F2527B" w:rsidRPr="001C65EE" w:rsidRDefault="00F2527B" w:rsidP="001C65EE">
      <w:pPr>
        <w:spacing w:after="0" w:afterAutospacing="0" w:line="240" w:lineRule="auto"/>
        <w:ind w:firstLine="0"/>
        <w:contextualSpacing/>
        <w:mirrorIndents/>
        <w:jc w:val="both"/>
        <w:rPr>
          <w:sz w:val="20"/>
          <w:szCs w:val="20"/>
        </w:rPr>
      </w:pPr>
    </w:p>
    <w:p w14:paraId="6263D10D" w14:textId="5D617287" w:rsidR="00C872B7" w:rsidRPr="001C65EE" w:rsidRDefault="00C872B7" w:rsidP="001C65EE">
      <w:pPr>
        <w:spacing w:after="0" w:afterAutospacing="0" w:line="240" w:lineRule="auto"/>
        <w:ind w:firstLine="0"/>
        <w:contextualSpacing/>
        <w:mirrorIndents/>
        <w:jc w:val="both"/>
        <w:rPr>
          <w:sz w:val="20"/>
          <w:szCs w:val="20"/>
        </w:rPr>
      </w:pPr>
      <w:r w:rsidRPr="001C65EE">
        <w:rPr>
          <w:sz w:val="20"/>
          <w:szCs w:val="20"/>
        </w:rPr>
        <w:t xml:space="preserve">Institutional Review Board (IRB) approval for research with human participants </w:t>
      </w:r>
      <w:proofErr w:type="gramStart"/>
      <w:r w:rsidRPr="001C65EE">
        <w:rPr>
          <w:sz w:val="20"/>
          <w:szCs w:val="20"/>
        </w:rPr>
        <w:t>was obtained</w:t>
      </w:r>
      <w:proofErr w:type="gramEnd"/>
      <w:r w:rsidRPr="001C65EE">
        <w:rPr>
          <w:sz w:val="20"/>
          <w:szCs w:val="20"/>
        </w:rPr>
        <w:t xml:space="preserve"> from </w:t>
      </w:r>
      <w:r w:rsidR="00F17B32">
        <w:rPr>
          <w:sz w:val="20"/>
          <w:szCs w:val="20"/>
        </w:rPr>
        <w:t xml:space="preserve">the </w:t>
      </w:r>
      <w:r w:rsidRPr="001C65EE">
        <w:rPr>
          <w:sz w:val="20"/>
          <w:szCs w:val="20"/>
        </w:rPr>
        <w:t>Aspen University</w:t>
      </w:r>
      <w:r w:rsidR="000F6733">
        <w:rPr>
          <w:sz w:val="20"/>
          <w:szCs w:val="20"/>
        </w:rPr>
        <w:t xml:space="preserve"> </w:t>
      </w:r>
      <w:r w:rsidR="000F6733" w:rsidRPr="000F6733">
        <w:rPr>
          <w:sz w:val="20"/>
          <w:szCs w:val="20"/>
        </w:rPr>
        <w:t>IRB</w:t>
      </w:r>
      <w:r w:rsidRPr="001C65EE">
        <w:rPr>
          <w:sz w:val="20"/>
          <w:szCs w:val="20"/>
        </w:rPr>
        <w:t xml:space="preserve"> and written informed consent was obtained from each of the patients enrolled. For this investigation, the definition of prediabetes by the American Diabetes Association (ADA) </w:t>
      </w:r>
      <w:proofErr w:type="gramStart"/>
      <w:r w:rsidR="00A41606">
        <w:rPr>
          <w:sz w:val="20"/>
          <w:szCs w:val="20"/>
        </w:rPr>
        <w:t>was</w:t>
      </w:r>
      <w:r w:rsidRPr="001C65EE">
        <w:rPr>
          <w:sz w:val="20"/>
          <w:szCs w:val="20"/>
        </w:rPr>
        <w:t xml:space="preserve"> utilized</w:t>
      </w:r>
      <w:proofErr w:type="gramEnd"/>
      <w:r w:rsidRPr="001C65EE">
        <w:rPr>
          <w:sz w:val="20"/>
          <w:szCs w:val="20"/>
        </w:rPr>
        <w:t xml:space="preserve">. This parameter categorized prediabetes as a hemoglobin </w:t>
      </w:r>
      <w:proofErr w:type="gramStart"/>
      <w:r w:rsidRPr="001C65EE">
        <w:rPr>
          <w:sz w:val="20"/>
          <w:szCs w:val="20"/>
        </w:rPr>
        <w:t>A1c</w:t>
      </w:r>
      <w:proofErr w:type="gramEnd"/>
      <w:r w:rsidRPr="001C65EE">
        <w:rPr>
          <w:sz w:val="20"/>
          <w:szCs w:val="20"/>
        </w:rPr>
        <w:t xml:space="preserve"> (HbA1c) of 5.7% to 6.4% or impaired fasting glucose (IFG) of 100 to 125mg/</w:t>
      </w:r>
      <w:proofErr w:type="spellStart"/>
      <w:r w:rsidRPr="001C65EE">
        <w:rPr>
          <w:sz w:val="20"/>
          <w:szCs w:val="20"/>
        </w:rPr>
        <w:t>dL</w:t>
      </w:r>
      <w:proofErr w:type="spellEnd"/>
      <w:r w:rsidRPr="001C65EE">
        <w:rPr>
          <w:sz w:val="20"/>
          <w:szCs w:val="20"/>
        </w:rPr>
        <w:t xml:space="preserve"> </w:t>
      </w:r>
      <w:r w:rsidR="00380AD1">
        <w:rPr>
          <w:color w:val="FF0000"/>
          <w:sz w:val="20"/>
          <w:szCs w:val="20"/>
        </w:rPr>
        <w:t>[9]</w:t>
      </w:r>
      <w:r w:rsidRPr="001C65EE">
        <w:rPr>
          <w:sz w:val="20"/>
          <w:szCs w:val="20"/>
        </w:rPr>
        <w:t>.</w:t>
      </w:r>
    </w:p>
    <w:p w14:paraId="5FBF8D21" w14:textId="77777777" w:rsidR="00F2527B" w:rsidRPr="001C65EE" w:rsidRDefault="00F2527B" w:rsidP="001C65EE">
      <w:pPr>
        <w:spacing w:after="0" w:afterAutospacing="0" w:line="240" w:lineRule="auto"/>
        <w:ind w:firstLine="0"/>
        <w:contextualSpacing/>
        <w:mirrorIndents/>
        <w:jc w:val="both"/>
        <w:rPr>
          <w:sz w:val="20"/>
          <w:szCs w:val="20"/>
        </w:rPr>
      </w:pPr>
    </w:p>
    <w:p w14:paraId="7B63B33F" w14:textId="77777777" w:rsidR="00501252" w:rsidRPr="001C65EE" w:rsidRDefault="009C7D25" w:rsidP="001C65EE">
      <w:pPr>
        <w:spacing w:after="0" w:afterAutospacing="0" w:line="240" w:lineRule="auto"/>
        <w:ind w:firstLine="0"/>
        <w:contextualSpacing/>
        <w:mirrorIndents/>
        <w:jc w:val="both"/>
        <w:rPr>
          <w:sz w:val="20"/>
          <w:szCs w:val="20"/>
        </w:rPr>
      </w:pPr>
      <w:r w:rsidRPr="001C65EE">
        <w:rPr>
          <w:sz w:val="20"/>
          <w:szCs w:val="20"/>
        </w:rPr>
        <w:t xml:space="preserve">The project setting included urban, outpatient, primary care patients enrolled in a direct-to-employer health membership. The project population </w:t>
      </w:r>
      <w:proofErr w:type="gramStart"/>
      <w:r w:rsidRPr="001C65EE">
        <w:rPr>
          <w:sz w:val="20"/>
          <w:szCs w:val="20"/>
        </w:rPr>
        <w:t>was selected</w:t>
      </w:r>
      <w:proofErr w:type="gramEnd"/>
      <w:r w:rsidRPr="001C65EE">
        <w:rPr>
          <w:sz w:val="20"/>
          <w:szCs w:val="20"/>
        </w:rPr>
        <w:t xml:space="preserve"> based on the following strict inclusion: 18 years of age or older, prediabetes diagnosis within 6 months of the project, the absence of glucose-lowering medication use, and English as their primary language.</w:t>
      </w:r>
      <w:r w:rsidR="00501252" w:rsidRPr="001C65EE">
        <w:rPr>
          <w:sz w:val="20"/>
          <w:szCs w:val="20"/>
        </w:rPr>
        <w:t xml:space="preserve"> The exclusion criteria included children, those taking a glucose-lowering medication, those previously diagnosed with prediabetes (&gt;6 months), a primary language other than English, and those who could not read. </w:t>
      </w:r>
    </w:p>
    <w:p w14:paraId="0ECBC40C" w14:textId="77777777" w:rsidR="00F2527B" w:rsidRPr="001C65EE" w:rsidRDefault="00F2527B" w:rsidP="001C65EE">
      <w:pPr>
        <w:spacing w:after="0" w:afterAutospacing="0" w:line="240" w:lineRule="auto"/>
        <w:ind w:firstLine="0"/>
        <w:contextualSpacing/>
        <w:mirrorIndents/>
        <w:jc w:val="both"/>
        <w:rPr>
          <w:sz w:val="20"/>
          <w:szCs w:val="20"/>
        </w:rPr>
      </w:pPr>
    </w:p>
    <w:p w14:paraId="241E174C" w14:textId="2609D3BD" w:rsidR="000E7690" w:rsidRPr="001C65EE" w:rsidRDefault="000E7690" w:rsidP="001C65EE">
      <w:pPr>
        <w:spacing w:after="0" w:afterAutospacing="0" w:line="240" w:lineRule="auto"/>
        <w:ind w:firstLine="0"/>
        <w:contextualSpacing/>
        <w:mirrorIndents/>
        <w:jc w:val="both"/>
        <w:rPr>
          <w:sz w:val="20"/>
          <w:szCs w:val="20"/>
        </w:rPr>
      </w:pPr>
      <w:r w:rsidRPr="001C65EE">
        <w:rPr>
          <w:sz w:val="20"/>
          <w:szCs w:val="20"/>
        </w:rPr>
        <w:t>There were 20 eligible participants identified for this project. Four participants (</w:t>
      </w:r>
      <w:r w:rsidRPr="001C65EE">
        <w:rPr>
          <w:iCs/>
          <w:sz w:val="20"/>
          <w:szCs w:val="20"/>
        </w:rPr>
        <w:t>N</w:t>
      </w:r>
      <w:r w:rsidRPr="001C65EE">
        <w:rPr>
          <w:sz w:val="20"/>
          <w:szCs w:val="20"/>
        </w:rPr>
        <w:t xml:space="preserve"> = 4, 20%) gave their consent to participate in this project. </w:t>
      </w:r>
      <w:r w:rsidR="00F4490C" w:rsidRPr="001D2BB2">
        <w:rPr>
          <w:color w:val="FF0000"/>
          <w:sz w:val="20"/>
          <w:szCs w:val="20"/>
        </w:rPr>
        <w:t>(</w:t>
      </w:r>
      <w:r w:rsidRPr="001D2BB2">
        <w:rPr>
          <w:color w:val="FF0000"/>
          <w:sz w:val="20"/>
          <w:szCs w:val="20"/>
        </w:rPr>
        <w:t>Table 1</w:t>
      </w:r>
      <w:r w:rsidR="00F4490C" w:rsidRPr="001D2BB2">
        <w:rPr>
          <w:color w:val="FF0000"/>
          <w:sz w:val="20"/>
          <w:szCs w:val="20"/>
        </w:rPr>
        <w:t>)</w:t>
      </w:r>
      <w:r w:rsidRPr="001D2BB2">
        <w:rPr>
          <w:color w:val="FF0000"/>
          <w:sz w:val="20"/>
          <w:szCs w:val="20"/>
        </w:rPr>
        <w:t xml:space="preserve"> </w:t>
      </w:r>
      <w:r w:rsidRPr="001C65EE">
        <w:rPr>
          <w:sz w:val="20"/>
          <w:szCs w:val="20"/>
        </w:rPr>
        <w:t>presents the demographics o</w:t>
      </w:r>
      <w:r w:rsidR="00B337FF">
        <w:rPr>
          <w:sz w:val="20"/>
          <w:szCs w:val="20"/>
        </w:rPr>
        <w:t>f the respondents of this study</w:t>
      </w:r>
      <w:r w:rsidRPr="001C65EE">
        <w:rPr>
          <w:sz w:val="20"/>
          <w:szCs w:val="20"/>
        </w:rPr>
        <w:t xml:space="preserve">. The majority of the respondents were 25-34 years old (75%) and female (75%). All respondents (100%) had a college degree or some college level of education. English was the primary language for all participants (100%). Half of the respondents (50%) </w:t>
      </w:r>
      <w:proofErr w:type="gramStart"/>
      <w:r w:rsidRPr="001C65EE">
        <w:rPr>
          <w:sz w:val="20"/>
          <w:szCs w:val="20"/>
        </w:rPr>
        <w:t>were diagnosed</w:t>
      </w:r>
      <w:proofErr w:type="gramEnd"/>
      <w:r w:rsidRPr="001C65EE">
        <w:rPr>
          <w:sz w:val="20"/>
          <w:szCs w:val="20"/>
        </w:rPr>
        <w:t xml:space="preserve"> with prediabetes less than 1 month ago, and half of the respondents (50%) were diagnosed with prediabetes 1-6 months ago. No respondents (100%) took medications to lower their blood glucose.</w:t>
      </w:r>
    </w:p>
    <w:p w14:paraId="45400324" w14:textId="77777777" w:rsidR="00305D65" w:rsidRPr="001C65EE" w:rsidRDefault="00305D65" w:rsidP="001C65EE">
      <w:pPr>
        <w:spacing w:after="0" w:afterAutospacing="0" w:line="240" w:lineRule="auto"/>
        <w:ind w:firstLine="0"/>
        <w:contextualSpacing/>
        <w:mirrorIndents/>
        <w:jc w:val="both"/>
        <w:rPr>
          <w:sz w:val="20"/>
          <w:szCs w:val="20"/>
        </w:rPr>
      </w:pPr>
    </w:p>
    <w:tbl>
      <w:tblPr>
        <w:tblW w:w="3544" w:type="dxa"/>
        <w:jc w:val="center"/>
        <w:tblLook w:val="04A0" w:firstRow="1" w:lastRow="0" w:firstColumn="1" w:lastColumn="0" w:noHBand="0" w:noVBand="1"/>
      </w:tblPr>
      <w:tblGrid>
        <w:gridCol w:w="2132"/>
        <w:gridCol w:w="758"/>
        <w:gridCol w:w="654"/>
      </w:tblGrid>
      <w:tr w:rsidR="00305D65" w:rsidRPr="001C65EE" w14:paraId="6B6EFD27" w14:textId="77777777" w:rsidTr="00282B6D">
        <w:trPr>
          <w:trHeight w:val="70"/>
          <w:jc w:val="center"/>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55A57" w14:textId="38073F62"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0527826B" w14:textId="77777777" w:rsidR="00305D65" w:rsidRPr="001C65EE" w:rsidRDefault="00305D65" w:rsidP="00282B6D">
            <w:pPr>
              <w:spacing w:after="0" w:afterAutospacing="0" w:line="240" w:lineRule="auto"/>
              <w:ind w:firstLine="0"/>
              <w:contextualSpacing/>
              <w:mirrorIndents/>
              <w:jc w:val="center"/>
              <w:rPr>
                <w:rFonts w:eastAsia="Times New Roman"/>
                <w:iCs/>
                <w:color w:val="000000"/>
                <w:kern w:val="0"/>
                <w:sz w:val="20"/>
                <w:szCs w:val="20"/>
                <w14:ligatures w14:val="none"/>
              </w:rPr>
            </w:pPr>
            <w:r w:rsidRPr="001C65EE">
              <w:rPr>
                <w:rFonts w:eastAsia="Times New Roman"/>
                <w:iCs/>
                <w:color w:val="000000"/>
                <w:kern w:val="0"/>
                <w:sz w:val="20"/>
                <w:szCs w:val="20"/>
                <w14:ligatures w14:val="none"/>
              </w:rPr>
              <w:t>N</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7C2E8EF"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w:t>
            </w:r>
          </w:p>
        </w:tc>
      </w:tr>
      <w:tr w:rsidR="00305D65" w:rsidRPr="001C65EE" w14:paraId="104D6CEE" w14:textId="77777777" w:rsidTr="00282B6D">
        <w:trPr>
          <w:trHeight w:val="12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BF2A354"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Age</w:t>
            </w:r>
          </w:p>
        </w:tc>
        <w:tc>
          <w:tcPr>
            <w:tcW w:w="758" w:type="dxa"/>
            <w:tcBorders>
              <w:top w:val="nil"/>
              <w:left w:val="nil"/>
              <w:bottom w:val="single" w:sz="4" w:space="0" w:color="auto"/>
              <w:right w:val="single" w:sz="4" w:space="0" w:color="auto"/>
            </w:tcBorders>
            <w:shd w:val="clear" w:color="auto" w:fill="auto"/>
            <w:vAlign w:val="center"/>
            <w:hideMark/>
          </w:tcPr>
          <w:p w14:paraId="46707F31" w14:textId="0917553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p>
        </w:tc>
        <w:tc>
          <w:tcPr>
            <w:tcW w:w="654" w:type="dxa"/>
            <w:tcBorders>
              <w:top w:val="nil"/>
              <w:left w:val="nil"/>
              <w:bottom w:val="single" w:sz="4" w:space="0" w:color="auto"/>
              <w:right w:val="single" w:sz="4" w:space="0" w:color="auto"/>
            </w:tcBorders>
            <w:shd w:val="clear" w:color="auto" w:fill="auto"/>
            <w:vAlign w:val="center"/>
            <w:hideMark/>
          </w:tcPr>
          <w:p w14:paraId="64CC650C" w14:textId="5F2CE4D0"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p>
        </w:tc>
      </w:tr>
      <w:tr w:rsidR="00305D65" w:rsidRPr="001C65EE" w14:paraId="57A1FD58"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0558ABB3" w14:textId="5852E47D"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18-24 years</w:t>
            </w:r>
          </w:p>
        </w:tc>
        <w:tc>
          <w:tcPr>
            <w:tcW w:w="758" w:type="dxa"/>
            <w:tcBorders>
              <w:top w:val="nil"/>
              <w:left w:val="nil"/>
              <w:bottom w:val="single" w:sz="4" w:space="0" w:color="auto"/>
              <w:right w:val="single" w:sz="4" w:space="0" w:color="auto"/>
            </w:tcBorders>
            <w:shd w:val="clear" w:color="auto" w:fill="auto"/>
            <w:vAlign w:val="center"/>
            <w:hideMark/>
          </w:tcPr>
          <w:p w14:paraId="35BF9F36"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654" w:type="dxa"/>
            <w:tcBorders>
              <w:top w:val="nil"/>
              <w:left w:val="nil"/>
              <w:bottom w:val="single" w:sz="4" w:space="0" w:color="auto"/>
              <w:right w:val="single" w:sz="4" w:space="0" w:color="auto"/>
            </w:tcBorders>
            <w:shd w:val="clear" w:color="auto" w:fill="auto"/>
            <w:vAlign w:val="center"/>
            <w:hideMark/>
          </w:tcPr>
          <w:p w14:paraId="134BA267"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305D65" w:rsidRPr="001C65EE" w14:paraId="073BD4D1"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C80EE15" w14:textId="7F1482F2"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25-34 years</w:t>
            </w:r>
          </w:p>
        </w:tc>
        <w:tc>
          <w:tcPr>
            <w:tcW w:w="758" w:type="dxa"/>
            <w:tcBorders>
              <w:top w:val="nil"/>
              <w:left w:val="nil"/>
              <w:bottom w:val="single" w:sz="4" w:space="0" w:color="auto"/>
              <w:right w:val="single" w:sz="4" w:space="0" w:color="auto"/>
            </w:tcBorders>
            <w:shd w:val="clear" w:color="auto" w:fill="auto"/>
            <w:vAlign w:val="center"/>
            <w:hideMark/>
          </w:tcPr>
          <w:p w14:paraId="793AA904"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654" w:type="dxa"/>
            <w:tcBorders>
              <w:top w:val="nil"/>
              <w:left w:val="nil"/>
              <w:bottom w:val="single" w:sz="4" w:space="0" w:color="auto"/>
              <w:right w:val="single" w:sz="4" w:space="0" w:color="auto"/>
            </w:tcBorders>
            <w:shd w:val="clear" w:color="auto" w:fill="auto"/>
            <w:vAlign w:val="center"/>
            <w:hideMark/>
          </w:tcPr>
          <w:p w14:paraId="5A72F55D"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75</w:t>
            </w:r>
          </w:p>
        </w:tc>
      </w:tr>
      <w:tr w:rsidR="00305D65" w:rsidRPr="001C65EE" w14:paraId="401D8582"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D601C36" w14:textId="50F08190"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35-44 years</w:t>
            </w:r>
          </w:p>
        </w:tc>
        <w:tc>
          <w:tcPr>
            <w:tcW w:w="758" w:type="dxa"/>
            <w:tcBorders>
              <w:top w:val="nil"/>
              <w:left w:val="nil"/>
              <w:bottom w:val="single" w:sz="4" w:space="0" w:color="auto"/>
              <w:right w:val="single" w:sz="4" w:space="0" w:color="auto"/>
            </w:tcBorders>
            <w:shd w:val="clear" w:color="auto" w:fill="auto"/>
            <w:vAlign w:val="center"/>
            <w:hideMark/>
          </w:tcPr>
          <w:p w14:paraId="0B2705A2"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654" w:type="dxa"/>
            <w:tcBorders>
              <w:top w:val="nil"/>
              <w:left w:val="nil"/>
              <w:bottom w:val="single" w:sz="4" w:space="0" w:color="auto"/>
              <w:right w:val="single" w:sz="4" w:space="0" w:color="auto"/>
            </w:tcBorders>
            <w:shd w:val="clear" w:color="auto" w:fill="auto"/>
            <w:vAlign w:val="center"/>
            <w:hideMark/>
          </w:tcPr>
          <w:p w14:paraId="730FCC4C"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305D65" w:rsidRPr="001C65EE" w14:paraId="33E297C2"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4797967B" w14:textId="35A750B2"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55-64 years</w:t>
            </w:r>
          </w:p>
        </w:tc>
        <w:tc>
          <w:tcPr>
            <w:tcW w:w="758" w:type="dxa"/>
            <w:tcBorders>
              <w:top w:val="nil"/>
              <w:left w:val="nil"/>
              <w:bottom w:val="single" w:sz="4" w:space="0" w:color="auto"/>
              <w:right w:val="single" w:sz="4" w:space="0" w:color="auto"/>
            </w:tcBorders>
            <w:shd w:val="clear" w:color="auto" w:fill="auto"/>
            <w:vAlign w:val="center"/>
            <w:hideMark/>
          </w:tcPr>
          <w:p w14:paraId="1D74C6C0"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654" w:type="dxa"/>
            <w:tcBorders>
              <w:top w:val="nil"/>
              <w:left w:val="nil"/>
              <w:bottom w:val="single" w:sz="4" w:space="0" w:color="auto"/>
              <w:right w:val="single" w:sz="4" w:space="0" w:color="auto"/>
            </w:tcBorders>
            <w:shd w:val="clear" w:color="auto" w:fill="auto"/>
            <w:vAlign w:val="center"/>
            <w:hideMark/>
          </w:tcPr>
          <w:p w14:paraId="23F973F7"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25</w:t>
            </w:r>
          </w:p>
        </w:tc>
      </w:tr>
      <w:tr w:rsidR="00305D65" w:rsidRPr="001C65EE" w14:paraId="4A638BCB"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6E4BCD4" w14:textId="6ECF9F44"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&gt; 64 years</w:t>
            </w:r>
          </w:p>
        </w:tc>
        <w:tc>
          <w:tcPr>
            <w:tcW w:w="758" w:type="dxa"/>
            <w:tcBorders>
              <w:top w:val="nil"/>
              <w:left w:val="nil"/>
              <w:bottom w:val="single" w:sz="4" w:space="0" w:color="auto"/>
              <w:right w:val="single" w:sz="4" w:space="0" w:color="auto"/>
            </w:tcBorders>
            <w:shd w:val="clear" w:color="auto" w:fill="auto"/>
            <w:vAlign w:val="center"/>
            <w:hideMark/>
          </w:tcPr>
          <w:p w14:paraId="602CD234"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654" w:type="dxa"/>
            <w:tcBorders>
              <w:top w:val="nil"/>
              <w:left w:val="nil"/>
              <w:bottom w:val="single" w:sz="4" w:space="0" w:color="auto"/>
              <w:right w:val="single" w:sz="4" w:space="0" w:color="auto"/>
            </w:tcBorders>
            <w:shd w:val="clear" w:color="auto" w:fill="auto"/>
            <w:vAlign w:val="center"/>
            <w:hideMark/>
          </w:tcPr>
          <w:p w14:paraId="3288EFC8"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305D65" w:rsidRPr="001C65EE" w14:paraId="03A96018" w14:textId="77777777" w:rsidTr="00282B6D">
        <w:trPr>
          <w:trHeight w:val="122"/>
          <w:jc w:val="center"/>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F6D72A"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Gender</w:t>
            </w:r>
          </w:p>
        </w:tc>
      </w:tr>
      <w:tr w:rsidR="00305D65" w:rsidRPr="001C65EE" w14:paraId="2C32ECAC" w14:textId="77777777" w:rsidTr="00282B6D">
        <w:trPr>
          <w:trHeight w:val="12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3D83989" w14:textId="2E1DF568"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Female</w:t>
            </w:r>
          </w:p>
        </w:tc>
        <w:tc>
          <w:tcPr>
            <w:tcW w:w="758" w:type="dxa"/>
            <w:tcBorders>
              <w:top w:val="nil"/>
              <w:left w:val="nil"/>
              <w:bottom w:val="single" w:sz="4" w:space="0" w:color="auto"/>
              <w:right w:val="single" w:sz="4" w:space="0" w:color="auto"/>
            </w:tcBorders>
            <w:shd w:val="clear" w:color="auto" w:fill="auto"/>
            <w:vAlign w:val="center"/>
            <w:hideMark/>
          </w:tcPr>
          <w:p w14:paraId="6923F4D0"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654" w:type="dxa"/>
            <w:tcBorders>
              <w:top w:val="nil"/>
              <w:left w:val="nil"/>
              <w:bottom w:val="single" w:sz="4" w:space="0" w:color="auto"/>
              <w:right w:val="single" w:sz="4" w:space="0" w:color="auto"/>
            </w:tcBorders>
            <w:shd w:val="clear" w:color="auto" w:fill="auto"/>
            <w:vAlign w:val="center"/>
            <w:hideMark/>
          </w:tcPr>
          <w:p w14:paraId="2373CAAC"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75</w:t>
            </w:r>
          </w:p>
        </w:tc>
      </w:tr>
      <w:tr w:rsidR="00305D65" w:rsidRPr="001C65EE" w14:paraId="7C3577D1" w14:textId="77777777" w:rsidTr="00282B6D">
        <w:trPr>
          <w:trHeight w:val="12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8AE4133" w14:textId="4E5C5A71"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Male</w:t>
            </w:r>
          </w:p>
        </w:tc>
        <w:tc>
          <w:tcPr>
            <w:tcW w:w="758" w:type="dxa"/>
            <w:tcBorders>
              <w:top w:val="nil"/>
              <w:left w:val="nil"/>
              <w:bottom w:val="single" w:sz="4" w:space="0" w:color="auto"/>
              <w:right w:val="single" w:sz="4" w:space="0" w:color="auto"/>
            </w:tcBorders>
            <w:shd w:val="clear" w:color="auto" w:fill="auto"/>
            <w:vAlign w:val="center"/>
            <w:hideMark/>
          </w:tcPr>
          <w:p w14:paraId="10081CA5"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654" w:type="dxa"/>
            <w:tcBorders>
              <w:top w:val="nil"/>
              <w:left w:val="nil"/>
              <w:bottom w:val="single" w:sz="4" w:space="0" w:color="auto"/>
              <w:right w:val="single" w:sz="4" w:space="0" w:color="auto"/>
            </w:tcBorders>
            <w:shd w:val="clear" w:color="auto" w:fill="auto"/>
            <w:vAlign w:val="center"/>
            <w:hideMark/>
          </w:tcPr>
          <w:p w14:paraId="223F94A0"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25</w:t>
            </w:r>
          </w:p>
        </w:tc>
      </w:tr>
      <w:tr w:rsidR="00305D65" w:rsidRPr="001C65EE" w14:paraId="5563C5C9" w14:textId="77777777" w:rsidTr="00282B6D">
        <w:trPr>
          <w:trHeight w:val="122"/>
          <w:jc w:val="center"/>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4287E2"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Highest level of education</w:t>
            </w:r>
          </w:p>
        </w:tc>
      </w:tr>
      <w:tr w:rsidR="00305D65" w:rsidRPr="001C65EE" w14:paraId="64B84458" w14:textId="77777777" w:rsidTr="00282B6D">
        <w:trPr>
          <w:trHeight w:val="31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FA7A44E" w14:textId="48067BB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College or some college</w:t>
            </w:r>
          </w:p>
        </w:tc>
        <w:tc>
          <w:tcPr>
            <w:tcW w:w="758" w:type="dxa"/>
            <w:tcBorders>
              <w:top w:val="nil"/>
              <w:left w:val="nil"/>
              <w:bottom w:val="single" w:sz="4" w:space="0" w:color="auto"/>
              <w:right w:val="single" w:sz="4" w:space="0" w:color="auto"/>
            </w:tcBorders>
            <w:shd w:val="clear" w:color="auto" w:fill="auto"/>
            <w:vAlign w:val="center"/>
            <w:hideMark/>
          </w:tcPr>
          <w:p w14:paraId="0D5740F2"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4</w:t>
            </w:r>
          </w:p>
        </w:tc>
        <w:tc>
          <w:tcPr>
            <w:tcW w:w="654" w:type="dxa"/>
            <w:tcBorders>
              <w:top w:val="nil"/>
              <w:left w:val="nil"/>
              <w:bottom w:val="single" w:sz="4" w:space="0" w:color="auto"/>
              <w:right w:val="single" w:sz="4" w:space="0" w:color="auto"/>
            </w:tcBorders>
            <w:shd w:val="clear" w:color="auto" w:fill="auto"/>
            <w:vAlign w:val="center"/>
            <w:hideMark/>
          </w:tcPr>
          <w:p w14:paraId="67633A16"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100</w:t>
            </w:r>
          </w:p>
        </w:tc>
      </w:tr>
      <w:tr w:rsidR="00305D65" w:rsidRPr="001C65EE" w14:paraId="293D1537"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0C22C275"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Primary language</w:t>
            </w:r>
          </w:p>
        </w:tc>
        <w:tc>
          <w:tcPr>
            <w:tcW w:w="758" w:type="dxa"/>
            <w:tcBorders>
              <w:top w:val="nil"/>
              <w:left w:val="nil"/>
              <w:bottom w:val="single" w:sz="4" w:space="0" w:color="auto"/>
              <w:right w:val="single" w:sz="4" w:space="0" w:color="auto"/>
            </w:tcBorders>
            <w:shd w:val="clear" w:color="auto" w:fill="auto"/>
            <w:vAlign w:val="center"/>
            <w:hideMark/>
          </w:tcPr>
          <w:p w14:paraId="2C8AB7DB" w14:textId="3BC4ED14"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p>
        </w:tc>
        <w:tc>
          <w:tcPr>
            <w:tcW w:w="654" w:type="dxa"/>
            <w:tcBorders>
              <w:top w:val="nil"/>
              <w:left w:val="nil"/>
              <w:bottom w:val="single" w:sz="4" w:space="0" w:color="auto"/>
              <w:right w:val="single" w:sz="4" w:space="0" w:color="auto"/>
            </w:tcBorders>
            <w:shd w:val="clear" w:color="auto" w:fill="auto"/>
            <w:vAlign w:val="center"/>
            <w:hideMark/>
          </w:tcPr>
          <w:p w14:paraId="60BC0C9F" w14:textId="0CC7EAB1"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p>
        </w:tc>
      </w:tr>
      <w:tr w:rsidR="00305D65" w:rsidRPr="001C65EE" w14:paraId="4DA8819E" w14:textId="77777777" w:rsidTr="00282B6D">
        <w:trPr>
          <w:trHeight w:val="12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2763B693" w14:textId="6C833448"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English</w:t>
            </w:r>
          </w:p>
        </w:tc>
        <w:tc>
          <w:tcPr>
            <w:tcW w:w="758" w:type="dxa"/>
            <w:tcBorders>
              <w:top w:val="nil"/>
              <w:left w:val="nil"/>
              <w:bottom w:val="single" w:sz="4" w:space="0" w:color="auto"/>
              <w:right w:val="single" w:sz="4" w:space="0" w:color="auto"/>
            </w:tcBorders>
            <w:shd w:val="clear" w:color="auto" w:fill="auto"/>
            <w:vAlign w:val="center"/>
            <w:hideMark/>
          </w:tcPr>
          <w:p w14:paraId="375FE5D7"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4</w:t>
            </w:r>
          </w:p>
        </w:tc>
        <w:tc>
          <w:tcPr>
            <w:tcW w:w="654" w:type="dxa"/>
            <w:tcBorders>
              <w:top w:val="nil"/>
              <w:left w:val="nil"/>
              <w:bottom w:val="single" w:sz="4" w:space="0" w:color="auto"/>
              <w:right w:val="single" w:sz="4" w:space="0" w:color="auto"/>
            </w:tcBorders>
            <w:shd w:val="clear" w:color="auto" w:fill="auto"/>
            <w:vAlign w:val="center"/>
            <w:hideMark/>
          </w:tcPr>
          <w:p w14:paraId="75014B09"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100</w:t>
            </w:r>
          </w:p>
        </w:tc>
      </w:tr>
      <w:tr w:rsidR="00305D65" w:rsidRPr="001C65EE" w14:paraId="052E2FF9" w14:textId="77777777" w:rsidTr="00282B6D">
        <w:trPr>
          <w:trHeight w:val="122"/>
          <w:jc w:val="center"/>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817339"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Date diagnosed with prediabetes</w:t>
            </w:r>
          </w:p>
        </w:tc>
      </w:tr>
      <w:tr w:rsidR="00305D65" w:rsidRPr="001C65EE" w14:paraId="4D1CD2C4"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57F303E6" w14:textId="00799FE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&lt;1 month ago</w:t>
            </w:r>
          </w:p>
        </w:tc>
        <w:tc>
          <w:tcPr>
            <w:tcW w:w="758" w:type="dxa"/>
            <w:tcBorders>
              <w:top w:val="nil"/>
              <w:left w:val="nil"/>
              <w:bottom w:val="single" w:sz="4" w:space="0" w:color="auto"/>
              <w:right w:val="single" w:sz="4" w:space="0" w:color="auto"/>
            </w:tcBorders>
            <w:shd w:val="clear" w:color="auto" w:fill="auto"/>
            <w:vAlign w:val="center"/>
            <w:hideMark/>
          </w:tcPr>
          <w:p w14:paraId="20E98159"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654" w:type="dxa"/>
            <w:tcBorders>
              <w:top w:val="nil"/>
              <w:left w:val="nil"/>
              <w:bottom w:val="single" w:sz="4" w:space="0" w:color="auto"/>
              <w:right w:val="single" w:sz="4" w:space="0" w:color="auto"/>
            </w:tcBorders>
            <w:shd w:val="clear" w:color="auto" w:fill="auto"/>
            <w:vAlign w:val="center"/>
            <w:hideMark/>
          </w:tcPr>
          <w:p w14:paraId="3913F14C"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50</w:t>
            </w:r>
          </w:p>
        </w:tc>
      </w:tr>
      <w:tr w:rsidR="00305D65" w:rsidRPr="001C65EE" w14:paraId="59E73D8B" w14:textId="77777777" w:rsidTr="00282B6D">
        <w:trPr>
          <w:trHeight w:val="31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5CE8118" w14:textId="54F80A34"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1-6 months ago</w:t>
            </w:r>
          </w:p>
        </w:tc>
        <w:tc>
          <w:tcPr>
            <w:tcW w:w="758" w:type="dxa"/>
            <w:tcBorders>
              <w:top w:val="nil"/>
              <w:left w:val="nil"/>
              <w:bottom w:val="single" w:sz="4" w:space="0" w:color="auto"/>
              <w:right w:val="single" w:sz="4" w:space="0" w:color="auto"/>
            </w:tcBorders>
            <w:shd w:val="clear" w:color="auto" w:fill="auto"/>
            <w:vAlign w:val="center"/>
            <w:hideMark/>
          </w:tcPr>
          <w:p w14:paraId="3E3B5208"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654" w:type="dxa"/>
            <w:tcBorders>
              <w:top w:val="nil"/>
              <w:left w:val="nil"/>
              <w:bottom w:val="single" w:sz="4" w:space="0" w:color="auto"/>
              <w:right w:val="single" w:sz="4" w:space="0" w:color="auto"/>
            </w:tcBorders>
            <w:shd w:val="clear" w:color="auto" w:fill="auto"/>
            <w:vAlign w:val="center"/>
            <w:hideMark/>
          </w:tcPr>
          <w:p w14:paraId="04C6CE5B"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50</w:t>
            </w:r>
          </w:p>
        </w:tc>
      </w:tr>
      <w:tr w:rsidR="00305D65" w:rsidRPr="001C65EE" w14:paraId="1739C24F" w14:textId="77777777" w:rsidTr="00282B6D">
        <w:trPr>
          <w:trHeight w:val="208"/>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730D816"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Medication use</w:t>
            </w:r>
          </w:p>
        </w:tc>
        <w:tc>
          <w:tcPr>
            <w:tcW w:w="758" w:type="dxa"/>
            <w:tcBorders>
              <w:top w:val="nil"/>
              <w:left w:val="nil"/>
              <w:bottom w:val="single" w:sz="4" w:space="0" w:color="auto"/>
              <w:right w:val="single" w:sz="4" w:space="0" w:color="auto"/>
            </w:tcBorders>
            <w:shd w:val="clear" w:color="auto" w:fill="auto"/>
            <w:vAlign w:val="center"/>
            <w:hideMark/>
          </w:tcPr>
          <w:p w14:paraId="47DE8E9F" w14:textId="4AAC49F4"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p>
        </w:tc>
        <w:tc>
          <w:tcPr>
            <w:tcW w:w="654" w:type="dxa"/>
            <w:tcBorders>
              <w:top w:val="nil"/>
              <w:left w:val="nil"/>
              <w:bottom w:val="single" w:sz="4" w:space="0" w:color="auto"/>
              <w:right w:val="single" w:sz="4" w:space="0" w:color="auto"/>
            </w:tcBorders>
            <w:shd w:val="clear" w:color="auto" w:fill="auto"/>
            <w:vAlign w:val="center"/>
            <w:hideMark/>
          </w:tcPr>
          <w:p w14:paraId="4012404E" w14:textId="4E9DEB82"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p>
        </w:tc>
      </w:tr>
      <w:tr w:rsidR="00305D65" w:rsidRPr="001C65EE" w14:paraId="330222B1" w14:textId="77777777" w:rsidTr="00282B6D">
        <w:trPr>
          <w:trHeight w:val="12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DE01F9A" w14:textId="1B60BA36"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No</w:t>
            </w:r>
          </w:p>
        </w:tc>
        <w:tc>
          <w:tcPr>
            <w:tcW w:w="758" w:type="dxa"/>
            <w:tcBorders>
              <w:top w:val="nil"/>
              <w:left w:val="nil"/>
              <w:bottom w:val="single" w:sz="4" w:space="0" w:color="auto"/>
              <w:right w:val="single" w:sz="4" w:space="0" w:color="auto"/>
            </w:tcBorders>
            <w:shd w:val="clear" w:color="auto" w:fill="auto"/>
            <w:vAlign w:val="center"/>
            <w:hideMark/>
          </w:tcPr>
          <w:p w14:paraId="3A2914B0"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4</w:t>
            </w:r>
          </w:p>
        </w:tc>
        <w:tc>
          <w:tcPr>
            <w:tcW w:w="654" w:type="dxa"/>
            <w:tcBorders>
              <w:top w:val="nil"/>
              <w:left w:val="nil"/>
              <w:bottom w:val="single" w:sz="4" w:space="0" w:color="auto"/>
              <w:right w:val="single" w:sz="4" w:space="0" w:color="auto"/>
            </w:tcBorders>
            <w:shd w:val="clear" w:color="auto" w:fill="auto"/>
            <w:vAlign w:val="center"/>
            <w:hideMark/>
          </w:tcPr>
          <w:p w14:paraId="550B7130"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100</w:t>
            </w:r>
          </w:p>
        </w:tc>
      </w:tr>
      <w:tr w:rsidR="00305D65" w:rsidRPr="001C65EE" w14:paraId="4E9A866C" w14:textId="77777777" w:rsidTr="00282B6D">
        <w:trPr>
          <w:trHeight w:val="122"/>
          <w:jc w:val="center"/>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F9BB7C"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AVS preference</w:t>
            </w:r>
          </w:p>
        </w:tc>
      </w:tr>
      <w:tr w:rsidR="00305D65" w:rsidRPr="001C65EE" w14:paraId="5FE86CA6" w14:textId="77777777" w:rsidTr="00282B6D">
        <w:trPr>
          <w:trHeight w:val="122"/>
          <w:jc w:val="center"/>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923B92D" w14:textId="68D4773E"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Email</w:t>
            </w:r>
          </w:p>
        </w:tc>
        <w:tc>
          <w:tcPr>
            <w:tcW w:w="758" w:type="dxa"/>
            <w:tcBorders>
              <w:top w:val="nil"/>
              <w:left w:val="nil"/>
              <w:bottom w:val="single" w:sz="4" w:space="0" w:color="auto"/>
              <w:right w:val="single" w:sz="4" w:space="0" w:color="auto"/>
            </w:tcBorders>
            <w:shd w:val="clear" w:color="auto" w:fill="auto"/>
            <w:vAlign w:val="center"/>
            <w:hideMark/>
          </w:tcPr>
          <w:p w14:paraId="0A83A1F5"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4</w:t>
            </w:r>
          </w:p>
        </w:tc>
        <w:tc>
          <w:tcPr>
            <w:tcW w:w="654" w:type="dxa"/>
            <w:tcBorders>
              <w:top w:val="nil"/>
              <w:left w:val="nil"/>
              <w:bottom w:val="single" w:sz="4" w:space="0" w:color="auto"/>
              <w:right w:val="single" w:sz="4" w:space="0" w:color="auto"/>
            </w:tcBorders>
            <w:shd w:val="clear" w:color="auto" w:fill="auto"/>
            <w:vAlign w:val="center"/>
            <w:hideMark/>
          </w:tcPr>
          <w:p w14:paraId="76E8E6BA" w14:textId="77777777" w:rsidR="00305D65" w:rsidRPr="001C65EE" w:rsidRDefault="00305D65" w:rsidP="00282B6D">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100</w:t>
            </w:r>
          </w:p>
        </w:tc>
      </w:tr>
    </w:tbl>
    <w:p w14:paraId="729CF88A" w14:textId="77777777" w:rsidR="00305D65" w:rsidRPr="001C65EE" w:rsidRDefault="00305D65" w:rsidP="001C65EE">
      <w:pPr>
        <w:spacing w:after="0" w:afterAutospacing="0" w:line="240" w:lineRule="auto"/>
        <w:ind w:firstLine="0"/>
        <w:contextualSpacing/>
        <w:mirrorIndents/>
        <w:jc w:val="both"/>
        <w:rPr>
          <w:sz w:val="20"/>
          <w:szCs w:val="20"/>
        </w:rPr>
      </w:pPr>
    </w:p>
    <w:p w14:paraId="0AF7B6FA" w14:textId="33E8DB40" w:rsidR="00305D65" w:rsidRPr="001C65EE" w:rsidRDefault="00305D65" w:rsidP="000066EC">
      <w:pPr>
        <w:spacing w:after="0" w:afterAutospacing="0" w:line="240" w:lineRule="auto"/>
        <w:ind w:firstLine="0"/>
        <w:contextualSpacing/>
        <w:mirrorIndents/>
        <w:jc w:val="center"/>
        <w:rPr>
          <w:sz w:val="20"/>
          <w:szCs w:val="20"/>
        </w:rPr>
      </w:pPr>
      <w:r w:rsidRPr="001C65EE">
        <w:rPr>
          <w:b/>
          <w:bCs/>
          <w:sz w:val="20"/>
          <w:szCs w:val="20"/>
        </w:rPr>
        <w:t>Table 1:</w:t>
      </w:r>
      <w:r w:rsidRPr="001C65EE">
        <w:rPr>
          <w:sz w:val="20"/>
          <w:szCs w:val="20"/>
        </w:rPr>
        <w:t xml:space="preserve"> Demographics</w:t>
      </w:r>
      <w:r w:rsidR="0018247B">
        <w:rPr>
          <w:sz w:val="20"/>
          <w:szCs w:val="20"/>
        </w:rPr>
        <w:t>.</w:t>
      </w:r>
    </w:p>
    <w:p w14:paraId="61AB5A85" w14:textId="77777777" w:rsidR="00F2527B" w:rsidRPr="001C65EE" w:rsidRDefault="00F2527B" w:rsidP="001C65EE">
      <w:pPr>
        <w:spacing w:after="0" w:afterAutospacing="0" w:line="240" w:lineRule="auto"/>
        <w:ind w:firstLine="0"/>
        <w:contextualSpacing/>
        <w:mirrorIndents/>
        <w:jc w:val="both"/>
        <w:rPr>
          <w:sz w:val="20"/>
          <w:szCs w:val="20"/>
        </w:rPr>
      </w:pPr>
    </w:p>
    <w:p w14:paraId="6D902019" w14:textId="5B82E3B0" w:rsidR="00C872B7" w:rsidRPr="001C65EE" w:rsidRDefault="00C872B7" w:rsidP="001C65EE">
      <w:pPr>
        <w:spacing w:after="0" w:afterAutospacing="0" w:line="240" w:lineRule="auto"/>
        <w:ind w:firstLine="0"/>
        <w:contextualSpacing/>
        <w:mirrorIndents/>
        <w:jc w:val="both"/>
        <w:rPr>
          <w:sz w:val="20"/>
          <w:szCs w:val="20"/>
        </w:rPr>
      </w:pPr>
      <w:r w:rsidRPr="001C65EE">
        <w:rPr>
          <w:sz w:val="20"/>
          <w:szCs w:val="20"/>
        </w:rPr>
        <w:t xml:space="preserve">Recruitment of potential individuals took place with an email invitation. The email letter described the project in detail, how participants’ health information </w:t>
      </w:r>
      <w:proofErr w:type="gramStart"/>
      <w:r w:rsidRPr="001C65EE">
        <w:rPr>
          <w:sz w:val="20"/>
          <w:szCs w:val="20"/>
        </w:rPr>
        <w:t>would be protected</w:t>
      </w:r>
      <w:proofErr w:type="gramEnd"/>
      <w:r w:rsidRPr="001C65EE">
        <w:rPr>
          <w:sz w:val="20"/>
          <w:szCs w:val="20"/>
        </w:rPr>
        <w:t xml:space="preserve">, and a consent form. Two recruitment attempts </w:t>
      </w:r>
      <w:proofErr w:type="gramStart"/>
      <w:r w:rsidRPr="001C65EE">
        <w:rPr>
          <w:sz w:val="20"/>
          <w:szCs w:val="20"/>
        </w:rPr>
        <w:t>were made</w:t>
      </w:r>
      <w:proofErr w:type="gramEnd"/>
      <w:r w:rsidRPr="001C65EE">
        <w:rPr>
          <w:sz w:val="20"/>
          <w:szCs w:val="20"/>
        </w:rPr>
        <w:t xml:space="preserve"> for those who met eligibility criteria, 1-2 weeks apart. Once the consent form </w:t>
      </w:r>
      <w:proofErr w:type="gramStart"/>
      <w:r w:rsidRPr="001C65EE">
        <w:rPr>
          <w:sz w:val="20"/>
          <w:szCs w:val="20"/>
        </w:rPr>
        <w:t>was electronically returned</w:t>
      </w:r>
      <w:proofErr w:type="gramEnd"/>
      <w:r w:rsidRPr="001C65EE">
        <w:rPr>
          <w:sz w:val="20"/>
          <w:szCs w:val="20"/>
        </w:rPr>
        <w:t xml:space="preserve">, the baseline modified KAP-PAQ was sent via email to the project population. Demographic data </w:t>
      </w:r>
      <w:proofErr w:type="gramStart"/>
      <w:r w:rsidRPr="001C65EE">
        <w:rPr>
          <w:sz w:val="20"/>
          <w:szCs w:val="20"/>
        </w:rPr>
        <w:t>were collected</w:t>
      </w:r>
      <w:proofErr w:type="gramEnd"/>
      <w:r w:rsidRPr="001C65EE">
        <w:rPr>
          <w:sz w:val="20"/>
          <w:szCs w:val="20"/>
        </w:rPr>
        <w:t xml:space="preserve"> at that time, along with inquiry regarding their preference for receiving the AVS. After the consent and baseline questionnaire </w:t>
      </w:r>
      <w:proofErr w:type="gramStart"/>
      <w:r w:rsidRPr="001C65EE">
        <w:rPr>
          <w:sz w:val="20"/>
          <w:szCs w:val="20"/>
        </w:rPr>
        <w:t>were received</w:t>
      </w:r>
      <w:proofErr w:type="gramEnd"/>
      <w:r w:rsidRPr="001C65EE">
        <w:rPr>
          <w:sz w:val="20"/>
          <w:szCs w:val="20"/>
        </w:rPr>
        <w:t xml:space="preserve"> for each, the integrated AVS was distributed containing essential information through the patient portal, email, or mail. A repeat modified KAP-PAQ </w:t>
      </w:r>
      <w:proofErr w:type="gramStart"/>
      <w:r w:rsidRPr="001C65EE">
        <w:rPr>
          <w:sz w:val="20"/>
          <w:szCs w:val="20"/>
        </w:rPr>
        <w:t>was administered</w:t>
      </w:r>
      <w:proofErr w:type="gramEnd"/>
      <w:r w:rsidRPr="001C65EE">
        <w:rPr>
          <w:sz w:val="20"/>
          <w:szCs w:val="20"/>
        </w:rPr>
        <w:t xml:space="preserve"> within 1 week of handout distribution. Two attempts to retrieve responses </w:t>
      </w:r>
      <w:proofErr w:type="gramStart"/>
      <w:r w:rsidRPr="001C65EE">
        <w:rPr>
          <w:sz w:val="20"/>
          <w:szCs w:val="20"/>
        </w:rPr>
        <w:t>were made</w:t>
      </w:r>
      <w:proofErr w:type="gramEnd"/>
      <w:r w:rsidRPr="001C65EE">
        <w:rPr>
          <w:sz w:val="20"/>
          <w:szCs w:val="20"/>
        </w:rPr>
        <w:t xml:space="preserve">, 2-3 days apart for those who had not yet returned the repeat questionnaire. </w:t>
      </w:r>
    </w:p>
    <w:p w14:paraId="2DE01D17" w14:textId="77777777" w:rsidR="00F2527B" w:rsidRPr="001C65EE" w:rsidRDefault="00F2527B" w:rsidP="001C65EE">
      <w:pPr>
        <w:spacing w:after="0" w:afterAutospacing="0" w:line="240" w:lineRule="auto"/>
        <w:ind w:firstLine="0"/>
        <w:contextualSpacing/>
        <w:mirrorIndents/>
        <w:jc w:val="both"/>
        <w:rPr>
          <w:sz w:val="20"/>
          <w:szCs w:val="20"/>
        </w:rPr>
      </w:pPr>
    </w:p>
    <w:p w14:paraId="06809DE8" w14:textId="3A209245" w:rsidR="008C369C" w:rsidRPr="001C65EE" w:rsidRDefault="00501252" w:rsidP="001C65EE">
      <w:pPr>
        <w:spacing w:after="0" w:afterAutospacing="0" w:line="240" w:lineRule="auto"/>
        <w:ind w:firstLine="0"/>
        <w:contextualSpacing/>
        <w:mirrorIndents/>
        <w:jc w:val="both"/>
        <w:rPr>
          <w:sz w:val="20"/>
          <w:szCs w:val="20"/>
        </w:rPr>
      </w:pPr>
      <w:r w:rsidRPr="001C65EE">
        <w:rPr>
          <w:sz w:val="20"/>
          <w:szCs w:val="20"/>
        </w:rPr>
        <w:t xml:space="preserve">The instrument utilized to measure comprehension was the Knowledge Attitude Practice-Prediabetes Assessment Questionnaire (KAP-PAQ) developed by </w:t>
      </w:r>
      <w:proofErr w:type="spellStart"/>
      <w:r w:rsidRPr="001C65EE">
        <w:rPr>
          <w:sz w:val="20"/>
          <w:szCs w:val="20"/>
        </w:rPr>
        <w:t>Hyder</w:t>
      </w:r>
      <w:proofErr w:type="spellEnd"/>
      <w:r w:rsidRPr="001C65EE">
        <w:rPr>
          <w:sz w:val="20"/>
          <w:szCs w:val="20"/>
        </w:rPr>
        <w:t xml:space="preserve"> et al.</w:t>
      </w:r>
      <w:r w:rsidRPr="001C65EE">
        <w:rPr>
          <w:color w:val="FF0000"/>
          <w:sz w:val="20"/>
          <w:szCs w:val="20"/>
        </w:rPr>
        <w:t xml:space="preserve"> </w:t>
      </w:r>
      <w:r w:rsidR="00982A29" w:rsidRPr="001C65EE">
        <w:rPr>
          <w:color w:val="FF0000"/>
          <w:sz w:val="20"/>
          <w:szCs w:val="20"/>
        </w:rPr>
        <w:t>[</w:t>
      </w:r>
      <w:r w:rsidR="00FF0114">
        <w:rPr>
          <w:color w:val="FF0000"/>
          <w:sz w:val="20"/>
          <w:szCs w:val="20"/>
        </w:rPr>
        <w:t>10</w:t>
      </w:r>
      <w:r w:rsidR="00982A29" w:rsidRPr="001C65EE">
        <w:rPr>
          <w:color w:val="FF0000"/>
          <w:sz w:val="20"/>
          <w:szCs w:val="20"/>
        </w:rPr>
        <w:t>]</w:t>
      </w:r>
      <w:r w:rsidR="008B5624">
        <w:rPr>
          <w:sz w:val="20"/>
          <w:szCs w:val="20"/>
        </w:rPr>
        <w:t xml:space="preserve">. </w:t>
      </w:r>
      <w:r w:rsidR="009C7D25" w:rsidRPr="001C65EE">
        <w:rPr>
          <w:sz w:val="20"/>
          <w:szCs w:val="20"/>
        </w:rPr>
        <w:t>The KAP-PAQ, a validated tool that analyzes knowledge, attitude, and practice, was administered</w:t>
      </w:r>
      <w:r w:rsidR="005D7ACA" w:rsidRPr="005D7ACA">
        <w:t xml:space="preserve"> </w:t>
      </w:r>
      <w:r w:rsidR="005D7ACA" w:rsidRPr="005D7ACA">
        <w:rPr>
          <w:sz w:val="20"/>
          <w:szCs w:val="20"/>
        </w:rPr>
        <w:t>after informed consent was received</w:t>
      </w:r>
      <w:r w:rsidR="009C7D25" w:rsidRPr="001C65EE">
        <w:rPr>
          <w:sz w:val="20"/>
          <w:szCs w:val="20"/>
        </w:rPr>
        <w:t xml:space="preserve">, which consists of </w:t>
      </w:r>
      <w:r w:rsidR="009C7D25" w:rsidRPr="001C65EE">
        <w:rPr>
          <w:sz w:val="20"/>
          <w:szCs w:val="20"/>
        </w:rPr>
        <w:lastRenderedPageBreak/>
        <w:t xml:space="preserve">multiple-choice questions to determine baseline comprehension. </w:t>
      </w:r>
      <w:r w:rsidR="008C369C" w:rsidRPr="001C65EE">
        <w:rPr>
          <w:sz w:val="20"/>
          <w:szCs w:val="20"/>
        </w:rPr>
        <w:t xml:space="preserve">The original KAP-PAQ consisted of 30 multiple-choice questions with 10 questions for each category: knowledge, attitudes, and practice. For this inquiry, only the knowledge portion </w:t>
      </w:r>
      <w:proofErr w:type="gramStart"/>
      <w:r w:rsidR="008C369C" w:rsidRPr="001C65EE">
        <w:rPr>
          <w:sz w:val="20"/>
          <w:szCs w:val="20"/>
        </w:rPr>
        <w:t>was administered</w:t>
      </w:r>
      <w:proofErr w:type="gramEnd"/>
      <w:r w:rsidR="008C369C" w:rsidRPr="001C65EE">
        <w:rPr>
          <w:sz w:val="20"/>
          <w:szCs w:val="20"/>
        </w:rPr>
        <w:t>.</w:t>
      </w:r>
      <w:r w:rsidR="008334D1">
        <w:rPr>
          <w:sz w:val="20"/>
          <w:szCs w:val="20"/>
        </w:rPr>
        <w:t xml:space="preserve"> </w:t>
      </w:r>
    </w:p>
    <w:p w14:paraId="73D0C893" w14:textId="77777777" w:rsidR="00F2527B" w:rsidRPr="001C65EE" w:rsidRDefault="00F2527B" w:rsidP="001C65EE">
      <w:pPr>
        <w:spacing w:after="0" w:afterAutospacing="0" w:line="240" w:lineRule="auto"/>
        <w:ind w:firstLine="0"/>
        <w:contextualSpacing/>
        <w:mirrorIndents/>
        <w:jc w:val="both"/>
        <w:rPr>
          <w:sz w:val="20"/>
          <w:szCs w:val="20"/>
        </w:rPr>
      </w:pPr>
    </w:p>
    <w:p w14:paraId="16D775C3" w14:textId="7DFD8ABD" w:rsidR="004A1187" w:rsidRPr="001C65EE" w:rsidRDefault="008C369C" w:rsidP="001C65EE">
      <w:pPr>
        <w:spacing w:after="0" w:afterAutospacing="0" w:line="240" w:lineRule="auto"/>
        <w:ind w:firstLine="0"/>
        <w:contextualSpacing/>
        <w:mirrorIndents/>
        <w:jc w:val="both"/>
        <w:rPr>
          <w:sz w:val="20"/>
          <w:szCs w:val="20"/>
        </w:rPr>
      </w:pPr>
      <w:r w:rsidRPr="001C65EE">
        <w:rPr>
          <w:sz w:val="20"/>
          <w:szCs w:val="20"/>
        </w:rPr>
        <w:t xml:space="preserve">The knowledge portion of the questionnaire had 10 questions specific to prediabetes including detection, etiology, consequences, and recommendations. </w:t>
      </w:r>
      <w:r w:rsidR="00C872B7" w:rsidRPr="001C65EE">
        <w:rPr>
          <w:sz w:val="20"/>
          <w:szCs w:val="20"/>
        </w:rPr>
        <w:t>To initiate the data collection, the project population completed an electronic compr</w:t>
      </w:r>
      <w:r w:rsidR="009822C6">
        <w:rPr>
          <w:sz w:val="20"/>
          <w:szCs w:val="20"/>
        </w:rPr>
        <w:t>ehension check with the KAP-PAQ</w:t>
      </w:r>
      <w:r w:rsidR="00C872B7" w:rsidRPr="001C65EE">
        <w:rPr>
          <w:sz w:val="20"/>
          <w:szCs w:val="20"/>
        </w:rPr>
        <w:t xml:space="preserve">. After a baseline knowledge assessment </w:t>
      </w:r>
      <w:proofErr w:type="gramStart"/>
      <w:r w:rsidR="00C872B7" w:rsidRPr="001C65EE">
        <w:rPr>
          <w:sz w:val="20"/>
          <w:szCs w:val="20"/>
        </w:rPr>
        <w:t>was obtained</w:t>
      </w:r>
      <w:proofErr w:type="gramEnd"/>
      <w:r w:rsidR="00C872B7" w:rsidRPr="001C65EE">
        <w:rPr>
          <w:sz w:val="20"/>
          <w:szCs w:val="20"/>
        </w:rPr>
        <w:t>, standardized information was provided utilizing an AVS</w:t>
      </w:r>
      <w:r w:rsidR="006B58AD">
        <w:rPr>
          <w:sz w:val="20"/>
          <w:szCs w:val="20"/>
        </w:rPr>
        <w:t xml:space="preserve"> </w:t>
      </w:r>
      <w:r w:rsidR="006B58AD" w:rsidRPr="006B58AD">
        <w:rPr>
          <w:sz w:val="20"/>
          <w:szCs w:val="20"/>
        </w:rPr>
        <w:t>containing guidelines obtained from the ADA and Ame</w:t>
      </w:r>
      <w:r w:rsidR="00606F2C">
        <w:rPr>
          <w:sz w:val="20"/>
          <w:szCs w:val="20"/>
        </w:rPr>
        <w:t>rican Medical Association (AMA)</w:t>
      </w:r>
      <w:r w:rsidR="00C872B7" w:rsidRPr="001C65EE">
        <w:rPr>
          <w:sz w:val="20"/>
          <w:szCs w:val="20"/>
        </w:rPr>
        <w:t xml:space="preserve">. </w:t>
      </w:r>
      <w:r w:rsidR="009C7D25" w:rsidRPr="001C65EE">
        <w:rPr>
          <w:sz w:val="20"/>
          <w:szCs w:val="20"/>
        </w:rPr>
        <w:t xml:space="preserve">After completion of AVS </w:t>
      </w:r>
      <w:r w:rsidR="00956814" w:rsidRPr="00956814">
        <w:rPr>
          <w:sz w:val="20"/>
          <w:szCs w:val="20"/>
        </w:rPr>
        <w:t>distribution</w:t>
      </w:r>
      <w:r w:rsidR="009C7D25" w:rsidRPr="001C65EE">
        <w:rPr>
          <w:sz w:val="20"/>
          <w:szCs w:val="20"/>
        </w:rPr>
        <w:t xml:space="preserve">, a repeat KAP-PAQ </w:t>
      </w:r>
      <w:proofErr w:type="gramStart"/>
      <w:r w:rsidR="009C7D25" w:rsidRPr="001C65EE">
        <w:rPr>
          <w:sz w:val="20"/>
          <w:szCs w:val="20"/>
        </w:rPr>
        <w:t>was administered</w:t>
      </w:r>
      <w:proofErr w:type="gramEnd"/>
      <w:r w:rsidR="009C7D25" w:rsidRPr="001C65EE">
        <w:rPr>
          <w:sz w:val="20"/>
          <w:szCs w:val="20"/>
        </w:rPr>
        <w:t>. Following data collection of the pre-and post-test KAP-PAQ, statistical analysis occurred.</w:t>
      </w:r>
    </w:p>
    <w:p w14:paraId="70636E55" w14:textId="77777777" w:rsidR="00F2527B" w:rsidRPr="001C65EE" w:rsidRDefault="00F2527B" w:rsidP="001C65EE">
      <w:pPr>
        <w:spacing w:after="0" w:afterAutospacing="0" w:line="240" w:lineRule="auto"/>
        <w:ind w:firstLine="0"/>
        <w:contextualSpacing/>
        <w:mirrorIndents/>
        <w:jc w:val="both"/>
        <w:rPr>
          <w:sz w:val="20"/>
          <w:szCs w:val="20"/>
        </w:rPr>
      </w:pPr>
    </w:p>
    <w:p w14:paraId="4A7DF695" w14:textId="1464D3DB" w:rsidR="001E3378" w:rsidRPr="001C65EE" w:rsidRDefault="001E3378" w:rsidP="001C65EE">
      <w:pPr>
        <w:spacing w:after="0" w:afterAutospacing="0" w:line="240" w:lineRule="auto"/>
        <w:ind w:firstLine="0"/>
        <w:contextualSpacing/>
        <w:mirrorIndents/>
        <w:jc w:val="both"/>
        <w:rPr>
          <w:b/>
          <w:bCs/>
          <w:sz w:val="20"/>
          <w:szCs w:val="20"/>
        </w:rPr>
      </w:pPr>
      <w:r w:rsidRPr="00BE1B14">
        <w:rPr>
          <w:b/>
          <w:bCs/>
          <w:sz w:val="22"/>
          <w:szCs w:val="20"/>
        </w:rPr>
        <w:t>Data Analysis</w:t>
      </w:r>
    </w:p>
    <w:p w14:paraId="7B383B8C" w14:textId="77777777" w:rsidR="00F2527B" w:rsidRPr="001C65EE" w:rsidRDefault="00F2527B" w:rsidP="001C65EE">
      <w:pPr>
        <w:spacing w:after="0" w:afterAutospacing="0" w:line="240" w:lineRule="auto"/>
        <w:ind w:firstLine="0"/>
        <w:contextualSpacing/>
        <w:mirrorIndents/>
        <w:jc w:val="both"/>
        <w:rPr>
          <w:sz w:val="20"/>
          <w:szCs w:val="20"/>
        </w:rPr>
      </w:pPr>
    </w:p>
    <w:p w14:paraId="4470F459" w14:textId="14C3F510" w:rsidR="000E7690" w:rsidRDefault="000E7690" w:rsidP="001C65EE">
      <w:pPr>
        <w:spacing w:after="0" w:afterAutospacing="0" w:line="240" w:lineRule="auto"/>
        <w:ind w:firstLine="0"/>
        <w:contextualSpacing/>
        <w:mirrorIndents/>
        <w:jc w:val="both"/>
        <w:rPr>
          <w:sz w:val="20"/>
          <w:szCs w:val="20"/>
        </w:rPr>
      </w:pPr>
      <w:r w:rsidRPr="001C65EE">
        <w:rPr>
          <w:sz w:val="20"/>
          <w:szCs w:val="20"/>
        </w:rPr>
        <w:t xml:space="preserve">Data were imported and analyzed using SPSS version 23 for Windows </w:t>
      </w:r>
      <w:r w:rsidR="00FE1020" w:rsidRPr="001C65EE">
        <w:rPr>
          <w:sz w:val="20"/>
          <w:szCs w:val="20"/>
        </w:rPr>
        <w:t xml:space="preserve">by </w:t>
      </w:r>
      <w:r w:rsidRPr="001C65EE">
        <w:rPr>
          <w:sz w:val="20"/>
          <w:szCs w:val="20"/>
        </w:rPr>
        <w:t>IBM Corp., Armonk, NY. Frequency tables</w:t>
      </w:r>
      <w:r w:rsidR="00A12B38">
        <w:rPr>
          <w:sz w:val="20"/>
          <w:szCs w:val="20"/>
        </w:rPr>
        <w:t xml:space="preserve"> </w:t>
      </w:r>
      <w:r w:rsidRPr="001C65EE">
        <w:rPr>
          <w:sz w:val="20"/>
          <w:szCs w:val="20"/>
        </w:rPr>
        <w:t xml:space="preserve">for categorical variables and descriptive statistics for continuous variables were used to summarize the demographics of those </w:t>
      </w:r>
      <w:proofErr w:type="gramStart"/>
      <w:r w:rsidRPr="001C65EE">
        <w:rPr>
          <w:sz w:val="20"/>
          <w:szCs w:val="20"/>
        </w:rPr>
        <w:t>enrolled,</w:t>
      </w:r>
      <w:proofErr w:type="gramEnd"/>
      <w:r w:rsidRPr="001C65EE">
        <w:rPr>
          <w:sz w:val="20"/>
          <w:szCs w:val="20"/>
        </w:rPr>
        <w:t xml:space="preserve"> the survey responses for the modified KAP-PAQ, and the prediabetes comprehension measured by the </w:t>
      </w:r>
      <w:r w:rsidR="000629C6">
        <w:rPr>
          <w:sz w:val="20"/>
          <w:szCs w:val="20"/>
        </w:rPr>
        <w:t>knowledge questions of KAP-PAQ.</w:t>
      </w:r>
    </w:p>
    <w:p w14:paraId="4285FD95" w14:textId="77777777" w:rsidR="00026BDF" w:rsidRDefault="00026BDF" w:rsidP="001C65EE">
      <w:pPr>
        <w:spacing w:after="0" w:afterAutospacing="0" w:line="240" w:lineRule="auto"/>
        <w:ind w:firstLine="0"/>
        <w:contextualSpacing/>
        <w:mirrorIndents/>
        <w:jc w:val="both"/>
        <w:rPr>
          <w:sz w:val="20"/>
          <w:szCs w:val="20"/>
        </w:rPr>
      </w:pPr>
    </w:p>
    <w:p w14:paraId="3C5AC3B0" w14:textId="47D51BDE" w:rsidR="000E7690" w:rsidRPr="001C65EE" w:rsidRDefault="000E7690" w:rsidP="001C65EE">
      <w:pPr>
        <w:spacing w:after="0" w:afterAutospacing="0" w:line="240" w:lineRule="auto"/>
        <w:ind w:firstLine="0"/>
        <w:contextualSpacing/>
        <w:mirrorIndents/>
        <w:jc w:val="both"/>
        <w:rPr>
          <w:sz w:val="20"/>
          <w:szCs w:val="20"/>
        </w:rPr>
      </w:pPr>
      <w:r w:rsidRPr="001C65EE">
        <w:rPr>
          <w:sz w:val="20"/>
          <w:szCs w:val="20"/>
        </w:rPr>
        <w:t xml:space="preserve">A paired </w:t>
      </w:r>
      <w:r w:rsidRPr="001C65EE">
        <w:rPr>
          <w:iCs/>
          <w:sz w:val="20"/>
          <w:szCs w:val="20"/>
        </w:rPr>
        <w:t>t</w:t>
      </w:r>
      <w:r w:rsidRPr="001C65EE">
        <w:rPr>
          <w:sz w:val="20"/>
          <w:szCs w:val="20"/>
        </w:rPr>
        <w:t xml:space="preserve">-test </w:t>
      </w:r>
      <w:proofErr w:type="gramStart"/>
      <w:r w:rsidRPr="001C65EE">
        <w:rPr>
          <w:sz w:val="20"/>
          <w:szCs w:val="20"/>
        </w:rPr>
        <w:t>was used</w:t>
      </w:r>
      <w:proofErr w:type="gramEnd"/>
      <w:r w:rsidRPr="001C65EE">
        <w:rPr>
          <w:sz w:val="20"/>
          <w:szCs w:val="20"/>
        </w:rPr>
        <w:t xml:space="preserve"> to determine if there </w:t>
      </w:r>
      <w:r w:rsidR="007664B2">
        <w:rPr>
          <w:sz w:val="20"/>
          <w:szCs w:val="20"/>
        </w:rPr>
        <w:t>was</w:t>
      </w:r>
      <w:r w:rsidRPr="001C65EE">
        <w:rPr>
          <w:sz w:val="20"/>
          <w:szCs w:val="20"/>
        </w:rPr>
        <w:t xml:space="preserve"> a difference in prediabetes comprehension, measured by the knowledge questions of KAP-PAQ, before and after the integration of the AVS. The null hypothesis was that there </w:t>
      </w:r>
      <w:r w:rsidR="00ED1980">
        <w:rPr>
          <w:sz w:val="20"/>
          <w:szCs w:val="20"/>
        </w:rPr>
        <w:t>was</w:t>
      </w:r>
      <w:r w:rsidRPr="001C65EE">
        <w:rPr>
          <w:sz w:val="20"/>
          <w:szCs w:val="20"/>
        </w:rPr>
        <w:t xml:space="preserve"> no statistically significant difference in prediabetes comprehension before and after the AVS integration. The alternative hypothesis was that there was a statistically significant difference in prediabetes comprehension before and after the AVS integration.</w:t>
      </w:r>
    </w:p>
    <w:p w14:paraId="6554E004" w14:textId="77777777" w:rsidR="00F2527B" w:rsidRPr="001C65EE" w:rsidRDefault="00F2527B" w:rsidP="001C65EE">
      <w:pPr>
        <w:spacing w:after="0" w:afterAutospacing="0" w:line="240" w:lineRule="auto"/>
        <w:ind w:firstLine="0"/>
        <w:contextualSpacing/>
        <w:mirrorIndents/>
        <w:jc w:val="both"/>
        <w:rPr>
          <w:sz w:val="20"/>
          <w:szCs w:val="20"/>
        </w:rPr>
      </w:pPr>
    </w:p>
    <w:p w14:paraId="6A82B42E" w14:textId="1C0E412F" w:rsidR="00002373" w:rsidRDefault="00002373" w:rsidP="00002373">
      <w:pPr>
        <w:spacing w:after="0" w:afterAutospacing="0" w:line="240" w:lineRule="auto"/>
        <w:ind w:firstLine="0"/>
        <w:contextualSpacing/>
        <w:mirrorIndents/>
        <w:jc w:val="both"/>
        <w:rPr>
          <w:sz w:val="20"/>
          <w:szCs w:val="20"/>
        </w:rPr>
      </w:pPr>
      <w:r w:rsidRPr="00002373">
        <w:rPr>
          <w:sz w:val="20"/>
          <w:szCs w:val="20"/>
        </w:rPr>
        <w:t xml:space="preserve">In a paired t-test, the observations (i.e., the dependent variable) </w:t>
      </w:r>
      <w:proofErr w:type="gramStart"/>
      <w:r w:rsidRPr="00002373">
        <w:rPr>
          <w:sz w:val="20"/>
          <w:szCs w:val="20"/>
        </w:rPr>
        <w:t>are defined</w:t>
      </w:r>
      <w:proofErr w:type="gramEnd"/>
      <w:r w:rsidRPr="00002373">
        <w:rPr>
          <w:sz w:val="20"/>
          <w:szCs w:val="20"/>
        </w:rPr>
        <w:t xml:space="preserve"> as the differences between two sets of values, and each assumption for the paired t-test refers to these differences, not the original data values. The following assumptions need to be satisfied for the paired sample t-test </w:t>
      </w:r>
      <w:r w:rsidRPr="00CF0D5F">
        <w:rPr>
          <w:color w:val="FF0000"/>
          <w:sz w:val="20"/>
          <w:szCs w:val="20"/>
        </w:rPr>
        <w:t>[11]</w:t>
      </w:r>
    </w:p>
    <w:p w14:paraId="7A7E49FC" w14:textId="77777777" w:rsidR="00C03F1F" w:rsidRPr="00002373" w:rsidRDefault="00C03F1F" w:rsidP="00002373">
      <w:pPr>
        <w:spacing w:after="0" w:afterAutospacing="0" w:line="240" w:lineRule="auto"/>
        <w:ind w:firstLine="0"/>
        <w:contextualSpacing/>
        <w:mirrorIndents/>
        <w:jc w:val="both"/>
        <w:rPr>
          <w:sz w:val="20"/>
          <w:szCs w:val="20"/>
        </w:rPr>
      </w:pPr>
    </w:p>
    <w:p w14:paraId="33474278" w14:textId="290844DB" w:rsidR="00002373" w:rsidRPr="000330C0" w:rsidRDefault="00002373" w:rsidP="000330C0">
      <w:pPr>
        <w:pStyle w:val="ListParagraph"/>
        <w:numPr>
          <w:ilvl w:val="0"/>
          <w:numId w:val="3"/>
        </w:numPr>
        <w:spacing w:after="0" w:afterAutospacing="0" w:line="240" w:lineRule="auto"/>
        <w:mirrorIndents/>
        <w:jc w:val="both"/>
        <w:rPr>
          <w:sz w:val="20"/>
          <w:szCs w:val="20"/>
        </w:rPr>
      </w:pPr>
      <w:bookmarkStart w:id="5" w:name="_GoBack"/>
      <w:r w:rsidRPr="000330C0">
        <w:rPr>
          <w:sz w:val="20"/>
          <w:szCs w:val="20"/>
        </w:rPr>
        <w:t>The dependent variable must be continuous.</w:t>
      </w:r>
    </w:p>
    <w:p w14:paraId="4FCDD5CD" w14:textId="1F9F0B39" w:rsidR="00002373" w:rsidRPr="000330C0" w:rsidRDefault="00002373" w:rsidP="000330C0">
      <w:pPr>
        <w:pStyle w:val="ListParagraph"/>
        <w:numPr>
          <w:ilvl w:val="0"/>
          <w:numId w:val="3"/>
        </w:numPr>
        <w:spacing w:after="0" w:afterAutospacing="0" w:line="240" w:lineRule="auto"/>
        <w:mirrorIndents/>
        <w:jc w:val="both"/>
        <w:rPr>
          <w:sz w:val="20"/>
          <w:szCs w:val="20"/>
        </w:rPr>
      </w:pPr>
      <w:r w:rsidRPr="000330C0">
        <w:rPr>
          <w:sz w:val="20"/>
          <w:szCs w:val="20"/>
        </w:rPr>
        <w:t>The observations are independent of one another.</w:t>
      </w:r>
    </w:p>
    <w:p w14:paraId="47E28C7A" w14:textId="5D05114C" w:rsidR="00F2527B" w:rsidRPr="000330C0" w:rsidRDefault="00002373" w:rsidP="000330C0">
      <w:pPr>
        <w:pStyle w:val="ListParagraph"/>
        <w:numPr>
          <w:ilvl w:val="0"/>
          <w:numId w:val="3"/>
        </w:numPr>
        <w:spacing w:after="0" w:afterAutospacing="0" w:line="240" w:lineRule="auto"/>
        <w:mirrorIndents/>
        <w:jc w:val="both"/>
        <w:rPr>
          <w:sz w:val="20"/>
          <w:szCs w:val="20"/>
        </w:rPr>
      </w:pPr>
      <w:r w:rsidRPr="000330C0">
        <w:rPr>
          <w:sz w:val="20"/>
          <w:szCs w:val="20"/>
        </w:rPr>
        <w:t xml:space="preserve">The dependent variable </w:t>
      </w:r>
      <w:proofErr w:type="gramStart"/>
      <w:r w:rsidRPr="000330C0">
        <w:rPr>
          <w:sz w:val="20"/>
          <w:szCs w:val="20"/>
        </w:rPr>
        <w:t>should be approximately normally distributed</w:t>
      </w:r>
      <w:proofErr w:type="gramEnd"/>
      <w:r w:rsidRPr="000330C0">
        <w:rPr>
          <w:sz w:val="20"/>
          <w:szCs w:val="20"/>
        </w:rPr>
        <w:t>.</w:t>
      </w:r>
    </w:p>
    <w:bookmarkEnd w:id="5"/>
    <w:p w14:paraId="26756CA0" w14:textId="77777777" w:rsidR="00C927C7" w:rsidRPr="001C65EE" w:rsidRDefault="00C927C7" w:rsidP="00002373">
      <w:pPr>
        <w:spacing w:after="0" w:afterAutospacing="0" w:line="240" w:lineRule="auto"/>
        <w:ind w:firstLine="0"/>
        <w:contextualSpacing/>
        <w:mirrorIndents/>
        <w:jc w:val="both"/>
        <w:rPr>
          <w:sz w:val="20"/>
          <w:szCs w:val="20"/>
        </w:rPr>
      </w:pPr>
    </w:p>
    <w:p w14:paraId="6502DBD7" w14:textId="7C180019" w:rsidR="000E7690" w:rsidRDefault="000E7690" w:rsidP="001C65EE">
      <w:pPr>
        <w:spacing w:after="0" w:afterAutospacing="0" w:line="240" w:lineRule="auto"/>
        <w:ind w:firstLine="0"/>
        <w:contextualSpacing/>
        <w:mirrorIndents/>
        <w:jc w:val="both"/>
        <w:rPr>
          <w:sz w:val="20"/>
          <w:szCs w:val="20"/>
        </w:rPr>
      </w:pPr>
      <w:r w:rsidRPr="001C65EE">
        <w:rPr>
          <w:sz w:val="20"/>
          <w:szCs w:val="20"/>
        </w:rPr>
        <w:t xml:space="preserve">As the scores for prediabetes comprehension are on a continuous scale, the observations (i.e., the dependent variable) of the paired </w:t>
      </w:r>
      <w:r w:rsidRPr="001C65EE">
        <w:rPr>
          <w:iCs/>
          <w:sz w:val="20"/>
          <w:szCs w:val="20"/>
        </w:rPr>
        <w:t>t</w:t>
      </w:r>
      <w:r w:rsidRPr="001C65EE">
        <w:rPr>
          <w:sz w:val="20"/>
          <w:szCs w:val="20"/>
        </w:rPr>
        <w:t xml:space="preserve">-test defined as the differences between two sets of values are on a continuous scale. Thus, the first assumption for the paired </w:t>
      </w:r>
      <w:r w:rsidRPr="001C65EE">
        <w:rPr>
          <w:iCs/>
          <w:sz w:val="20"/>
          <w:szCs w:val="20"/>
        </w:rPr>
        <w:t>t</w:t>
      </w:r>
      <w:r w:rsidRPr="001C65EE">
        <w:rPr>
          <w:sz w:val="20"/>
          <w:szCs w:val="20"/>
        </w:rPr>
        <w:t xml:space="preserve">-test </w:t>
      </w:r>
      <w:r w:rsidR="00C007CF">
        <w:rPr>
          <w:sz w:val="20"/>
          <w:szCs w:val="20"/>
        </w:rPr>
        <w:t>was</w:t>
      </w:r>
      <w:r w:rsidRPr="001C65EE">
        <w:rPr>
          <w:sz w:val="20"/>
          <w:szCs w:val="20"/>
        </w:rPr>
        <w:t xml:space="preserve"> satisfied. The independence assumption was satisfied as each participant was an independent individual and hence the observations are independent of one another. The normality assumption </w:t>
      </w:r>
      <w:proofErr w:type="gramStart"/>
      <w:r w:rsidRPr="001C65EE">
        <w:rPr>
          <w:sz w:val="20"/>
          <w:szCs w:val="20"/>
        </w:rPr>
        <w:t>was checked</w:t>
      </w:r>
      <w:proofErr w:type="gramEnd"/>
      <w:r w:rsidRPr="001C65EE">
        <w:rPr>
          <w:sz w:val="20"/>
          <w:szCs w:val="20"/>
        </w:rPr>
        <w:t xml:space="preserve"> via skewness and kurtosis. As suggested by Kim</w:t>
      </w:r>
      <w:r w:rsidR="00553CC0">
        <w:rPr>
          <w:sz w:val="20"/>
          <w:szCs w:val="20"/>
        </w:rPr>
        <w:t xml:space="preserve"> and </w:t>
      </w:r>
      <w:r w:rsidRPr="001C65EE">
        <w:rPr>
          <w:sz w:val="20"/>
          <w:szCs w:val="20"/>
        </w:rPr>
        <w:t xml:space="preserve">Mishra et al. </w:t>
      </w:r>
      <w:r w:rsidR="00116A90" w:rsidRPr="001C65EE">
        <w:rPr>
          <w:color w:val="FF0000"/>
          <w:sz w:val="20"/>
          <w:szCs w:val="20"/>
        </w:rPr>
        <w:t>[1</w:t>
      </w:r>
      <w:r w:rsidR="00A7610A">
        <w:rPr>
          <w:color w:val="FF0000"/>
          <w:sz w:val="20"/>
          <w:szCs w:val="20"/>
        </w:rPr>
        <w:t>2</w:t>
      </w:r>
      <w:r w:rsidR="00905E58">
        <w:rPr>
          <w:color w:val="FF0000"/>
          <w:sz w:val="20"/>
          <w:szCs w:val="20"/>
        </w:rPr>
        <w:t>,13</w:t>
      </w:r>
      <w:r w:rsidR="00116A90" w:rsidRPr="001C65EE">
        <w:rPr>
          <w:color w:val="FF0000"/>
          <w:sz w:val="20"/>
          <w:szCs w:val="20"/>
        </w:rPr>
        <w:t>]</w:t>
      </w:r>
      <w:r w:rsidR="007C274D">
        <w:rPr>
          <w:color w:val="FF0000"/>
          <w:sz w:val="20"/>
          <w:szCs w:val="20"/>
        </w:rPr>
        <w:t xml:space="preserve"> </w:t>
      </w:r>
      <w:r w:rsidR="007C274D" w:rsidRPr="00730E90">
        <w:rPr>
          <w:color w:val="FF0000"/>
          <w:sz w:val="20"/>
          <w:szCs w:val="20"/>
        </w:rPr>
        <w:t xml:space="preserve">(Table </w:t>
      </w:r>
      <w:r w:rsidR="007C274D">
        <w:rPr>
          <w:color w:val="FF0000"/>
          <w:sz w:val="20"/>
          <w:szCs w:val="20"/>
        </w:rPr>
        <w:t>2</w:t>
      </w:r>
      <w:r w:rsidR="007C274D" w:rsidRPr="00730E90">
        <w:rPr>
          <w:color w:val="FF0000"/>
          <w:sz w:val="20"/>
          <w:szCs w:val="20"/>
        </w:rPr>
        <w:t xml:space="preserve">, </w:t>
      </w:r>
      <w:r w:rsidR="007C274D">
        <w:rPr>
          <w:color w:val="FF0000"/>
          <w:sz w:val="20"/>
          <w:szCs w:val="20"/>
        </w:rPr>
        <w:t>3</w:t>
      </w:r>
      <w:r w:rsidR="007C274D" w:rsidRPr="00730E90">
        <w:rPr>
          <w:color w:val="FF0000"/>
          <w:sz w:val="20"/>
          <w:szCs w:val="20"/>
        </w:rPr>
        <w:t>)</w:t>
      </w:r>
      <w:r w:rsidRPr="001C65EE">
        <w:rPr>
          <w:sz w:val="20"/>
          <w:szCs w:val="20"/>
        </w:rPr>
        <w:t xml:space="preserve">, an absolute skewness value </w:t>
      </w:r>
      <w:r w:rsidRPr="00B6498C">
        <w:rPr>
          <w:color w:val="FF0000"/>
          <w:sz w:val="20"/>
          <w:szCs w:val="20"/>
        </w:rPr>
        <w:t>≤</w:t>
      </w:r>
      <w:r w:rsidRPr="001C65EE">
        <w:rPr>
          <w:sz w:val="20"/>
          <w:szCs w:val="20"/>
        </w:rPr>
        <w:t xml:space="preserve"> 2 and an absolute kurtosis (excess) </w:t>
      </w:r>
      <w:r w:rsidRPr="008C2F45">
        <w:rPr>
          <w:color w:val="FF0000"/>
          <w:sz w:val="20"/>
          <w:szCs w:val="20"/>
        </w:rPr>
        <w:t>≤</w:t>
      </w:r>
      <w:r w:rsidRPr="001C65EE">
        <w:rPr>
          <w:sz w:val="20"/>
          <w:szCs w:val="20"/>
        </w:rPr>
        <w:t xml:space="preserve"> 4 for the data may be used as reference values for determining considerable normality. If the normality assumption </w:t>
      </w:r>
      <w:proofErr w:type="gramStart"/>
      <w:r w:rsidRPr="001C65EE">
        <w:rPr>
          <w:sz w:val="20"/>
          <w:szCs w:val="20"/>
        </w:rPr>
        <w:t>was</w:t>
      </w:r>
      <w:proofErr w:type="gramEnd"/>
      <w:r w:rsidRPr="001C65EE">
        <w:rPr>
          <w:sz w:val="20"/>
          <w:szCs w:val="20"/>
        </w:rPr>
        <w:t xml:space="preserve"> not satisfied, then </w:t>
      </w:r>
      <w:bookmarkStart w:id="6" w:name="_Hlk88768004"/>
      <w:r w:rsidRPr="001C65EE">
        <w:rPr>
          <w:sz w:val="20"/>
          <w:szCs w:val="20"/>
        </w:rPr>
        <w:t xml:space="preserve">the non-parametric alternative of the paired </w:t>
      </w:r>
      <w:r w:rsidRPr="001C65EE">
        <w:rPr>
          <w:iCs/>
          <w:sz w:val="20"/>
          <w:szCs w:val="20"/>
        </w:rPr>
        <w:t>t</w:t>
      </w:r>
      <w:r w:rsidRPr="001C65EE">
        <w:rPr>
          <w:sz w:val="20"/>
          <w:szCs w:val="20"/>
        </w:rPr>
        <w:t xml:space="preserve">-test, the Wilcoxon signed-rank test, would </w:t>
      </w:r>
      <w:r w:rsidR="001E005F">
        <w:rPr>
          <w:sz w:val="20"/>
          <w:szCs w:val="20"/>
        </w:rPr>
        <w:t>have been</w:t>
      </w:r>
      <w:r w:rsidRPr="001C65EE">
        <w:rPr>
          <w:sz w:val="20"/>
          <w:szCs w:val="20"/>
        </w:rPr>
        <w:t xml:space="preserve"> performed to validate the results of the paired </w:t>
      </w:r>
      <w:r w:rsidRPr="001C65EE">
        <w:rPr>
          <w:iCs/>
          <w:sz w:val="20"/>
          <w:szCs w:val="20"/>
        </w:rPr>
        <w:t>t</w:t>
      </w:r>
      <w:r w:rsidRPr="001C65EE">
        <w:rPr>
          <w:sz w:val="20"/>
          <w:szCs w:val="20"/>
        </w:rPr>
        <w:t xml:space="preserve">-tests. </w:t>
      </w:r>
      <w:bookmarkEnd w:id="6"/>
      <w:r w:rsidRPr="001C65EE">
        <w:rPr>
          <w:sz w:val="20"/>
          <w:szCs w:val="20"/>
        </w:rPr>
        <w:t xml:space="preserve">For any tests, a </w:t>
      </w:r>
      <w:r w:rsidRPr="001C65EE">
        <w:rPr>
          <w:iCs/>
          <w:sz w:val="20"/>
          <w:szCs w:val="20"/>
        </w:rPr>
        <w:t>p</w:t>
      </w:r>
      <w:r w:rsidRPr="001C65EE">
        <w:rPr>
          <w:sz w:val="20"/>
          <w:szCs w:val="20"/>
        </w:rPr>
        <w:t xml:space="preserve">-value less than 0.05 indicated significance. All </w:t>
      </w:r>
      <w:r w:rsidRPr="001C65EE">
        <w:rPr>
          <w:iCs/>
          <w:sz w:val="20"/>
          <w:szCs w:val="20"/>
        </w:rPr>
        <w:t>p</w:t>
      </w:r>
      <w:r w:rsidRPr="001C65EE">
        <w:rPr>
          <w:sz w:val="20"/>
          <w:szCs w:val="20"/>
        </w:rPr>
        <w:t>-values were two-sided.</w:t>
      </w:r>
    </w:p>
    <w:p w14:paraId="219CDBA7" w14:textId="45E067D5" w:rsidR="00026BDF" w:rsidRPr="001C65EE" w:rsidRDefault="00026BDF" w:rsidP="00026BDF">
      <w:pPr>
        <w:spacing w:after="0" w:afterAutospacing="0" w:line="240" w:lineRule="auto"/>
        <w:ind w:firstLine="0"/>
        <w:contextualSpacing/>
        <w:mirrorIndents/>
        <w:jc w:val="both"/>
        <w:rPr>
          <w:sz w:val="20"/>
          <w:szCs w:val="20"/>
        </w:rPr>
      </w:pPr>
    </w:p>
    <w:tbl>
      <w:tblPr>
        <w:tblW w:w="8135" w:type="dxa"/>
        <w:jc w:val="center"/>
        <w:tblLayout w:type="fixed"/>
        <w:tblLook w:val="04A0" w:firstRow="1" w:lastRow="0" w:firstColumn="1" w:lastColumn="0" w:noHBand="0" w:noVBand="1"/>
      </w:tblPr>
      <w:tblGrid>
        <w:gridCol w:w="941"/>
        <w:gridCol w:w="1411"/>
        <w:gridCol w:w="1430"/>
        <w:gridCol w:w="1402"/>
        <w:gridCol w:w="1403"/>
        <w:gridCol w:w="700"/>
        <w:gridCol w:w="848"/>
      </w:tblGrid>
      <w:tr w:rsidR="00026BDF" w:rsidRPr="001C65EE" w14:paraId="0EABAFE8" w14:textId="77777777" w:rsidTr="0047119E">
        <w:trPr>
          <w:trHeight w:val="314"/>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34F9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Question</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293116F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Respondent 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5B4BDE8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Respondent 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08A482C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Respondent 3</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2A3942A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Respondent 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1BE5236" w14:textId="77777777" w:rsidR="00026BDF" w:rsidRPr="001C65EE" w:rsidRDefault="00026BDF" w:rsidP="0047119E">
            <w:pPr>
              <w:spacing w:after="0" w:afterAutospacing="0" w:line="240" w:lineRule="auto"/>
              <w:ind w:firstLine="0"/>
              <w:contextualSpacing/>
              <w:mirrorIndents/>
              <w:jc w:val="center"/>
              <w:rPr>
                <w:rFonts w:eastAsia="Times New Roman"/>
                <w:iCs/>
                <w:color w:val="000000"/>
                <w:kern w:val="0"/>
                <w:sz w:val="20"/>
                <w:szCs w:val="20"/>
                <w14:ligatures w14:val="none"/>
              </w:rPr>
            </w:pPr>
            <w:r w:rsidRPr="001C65EE">
              <w:rPr>
                <w:rFonts w:eastAsia="Times New Roman"/>
                <w:iCs/>
                <w:color w:val="000000"/>
                <w:kern w:val="0"/>
                <w:sz w:val="20"/>
                <w:szCs w:val="20"/>
                <w14:ligatures w14:val="none"/>
              </w:rPr>
              <w:t>M</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2D64CA25" w14:textId="77777777" w:rsidR="00026BDF" w:rsidRPr="001C65EE" w:rsidRDefault="00026BDF" w:rsidP="0047119E">
            <w:pPr>
              <w:spacing w:after="0" w:afterAutospacing="0" w:line="240" w:lineRule="auto"/>
              <w:ind w:firstLine="0"/>
              <w:contextualSpacing/>
              <w:mirrorIndents/>
              <w:jc w:val="center"/>
              <w:rPr>
                <w:rFonts w:eastAsia="Times New Roman"/>
                <w:iCs/>
                <w:color w:val="000000"/>
                <w:kern w:val="0"/>
                <w:sz w:val="20"/>
                <w:szCs w:val="20"/>
                <w14:ligatures w14:val="none"/>
              </w:rPr>
            </w:pPr>
            <w:r w:rsidRPr="001C65EE">
              <w:rPr>
                <w:rFonts w:eastAsia="Times New Roman"/>
                <w:iCs/>
                <w:color w:val="000000"/>
                <w:kern w:val="0"/>
                <w:sz w:val="20"/>
                <w:szCs w:val="20"/>
                <w14:ligatures w14:val="none"/>
              </w:rPr>
              <w:t>SD</w:t>
            </w:r>
          </w:p>
        </w:tc>
      </w:tr>
      <w:tr w:rsidR="00026BDF" w:rsidRPr="001C65EE" w14:paraId="5DBB1E84" w14:textId="77777777" w:rsidTr="0047119E">
        <w:trPr>
          <w:trHeight w:val="184"/>
          <w:jc w:val="center"/>
        </w:trPr>
        <w:tc>
          <w:tcPr>
            <w:tcW w:w="81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880F2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Pre-AVS integration</w:t>
            </w:r>
          </w:p>
        </w:tc>
      </w:tr>
      <w:tr w:rsidR="00026BDF" w:rsidRPr="001C65EE" w14:paraId="451D69BE"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E8EA0D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11" w:type="dxa"/>
            <w:tcBorders>
              <w:top w:val="nil"/>
              <w:left w:val="nil"/>
              <w:bottom w:val="single" w:sz="4" w:space="0" w:color="auto"/>
              <w:right w:val="single" w:sz="4" w:space="0" w:color="auto"/>
            </w:tcBorders>
            <w:shd w:val="clear" w:color="auto" w:fill="auto"/>
            <w:vAlign w:val="center"/>
            <w:hideMark/>
          </w:tcPr>
          <w:p w14:paraId="70BC5D3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055131BF"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16EE1E5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1403" w:type="dxa"/>
            <w:tcBorders>
              <w:top w:val="nil"/>
              <w:left w:val="nil"/>
              <w:bottom w:val="single" w:sz="4" w:space="0" w:color="auto"/>
              <w:right w:val="single" w:sz="4" w:space="0" w:color="auto"/>
            </w:tcBorders>
            <w:shd w:val="clear" w:color="auto" w:fill="auto"/>
            <w:vAlign w:val="center"/>
            <w:hideMark/>
          </w:tcPr>
          <w:p w14:paraId="480FB58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1DB4749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0.75</w:t>
            </w:r>
          </w:p>
        </w:tc>
        <w:tc>
          <w:tcPr>
            <w:tcW w:w="844" w:type="dxa"/>
            <w:tcBorders>
              <w:top w:val="nil"/>
              <w:left w:val="nil"/>
              <w:bottom w:val="single" w:sz="4" w:space="0" w:color="auto"/>
              <w:right w:val="single" w:sz="4" w:space="0" w:color="auto"/>
            </w:tcBorders>
            <w:shd w:val="clear" w:color="auto" w:fill="auto"/>
            <w:vAlign w:val="center"/>
            <w:hideMark/>
          </w:tcPr>
          <w:p w14:paraId="2EE93ED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0.43</w:t>
            </w:r>
          </w:p>
        </w:tc>
      </w:tr>
      <w:tr w:rsidR="00026BDF" w:rsidRPr="001C65EE" w14:paraId="1E70CD6A"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46E867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11" w:type="dxa"/>
            <w:tcBorders>
              <w:top w:val="nil"/>
              <w:left w:val="nil"/>
              <w:bottom w:val="single" w:sz="4" w:space="0" w:color="auto"/>
              <w:right w:val="single" w:sz="4" w:space="0" w:color="auto"/>
            </w:tcBorders>
            <w:shd w:val="clear" w:color="auto" w:fill="auto"/>
            <w:vAlign w:val="center"/>
            <w:hideMark/>
          </w:tcPr>
          <w:p w14:paraId="6F29B1BC"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2D947B1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1402" w:type="dxa"/>
            <w:tcBorders>
              <w:top w:val="nil"/>
              <w:left w:val="nil"/>
              <w:bottom w:val="single" w:sz="4" w:space="0" w:color="auto"/>
              <w:right w:val="single" w:sz="4" w:space="0" w:color="auto"/>
            </w:tcBorders>
            <w:shd w:val="clear" w:color="auto" w:fill="auto"/>
            <w:vAlign w:val="center"/>
            <w:hideMark/>
          </w:tcPr>
          <w:p w14:paraId="3442527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1403" w:type="dxa"/>
            <w:tcBorders>
              <w:top w:val="nil"/>
              <w:left w:val="nil"/>
              <w:bottom w:val="single" w:sz="4" w:space="0" w:color="auto"/>
              <w:right w:val="single" w:sz="4" w:space="0" w:color="auto"/>
            </w:tcBorders>
            <w:shd w:val="clear" w:color="auto" w:fill="auto"/>
            <w:vAlign w:val="center"/>
            <w:hideMark/>
          </w:tcPr>
          <w:p w14:paraId="6F62221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22C22F5C"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0.5</w:t>
            </w:r>
          </w:p>
        </w:tc>
        <w:tc>
          <w:tcPr>
            <w:tcW w:w="844" w:type="dxa"/>
            <w:tcBorders>
              <w:top w:val="nil"/>
              <w:left w:val="nil"/>
              <w:bottom w:val="single" w:sz="4" w:space="0" w:color="auto"/>
              <w:right w:val="single" w:sz="4" w:space="0" w:color="auto"/>
            </w:tcBorders>
            <w:shd w:val="clear" w:color="auto" w:fill="auto"/>
            <w:vAlign w:val="center"/>
            <w:hideMark/>
          </w:tcPr>
          <w:p w14:paraId="0E9FAB06"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0.5</w:t>
            </w:r>
          </w:p>
        </w:tc>
      </w:tr>
      <w:tr w:rsidR="00026BDF" w:rsidRPr="001C65EE" w14:paraId="15A94C15"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88512E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11" w:type="dxa"/>
            <w:tcBorders>
              <w:top w:val="nil"/>
              <w:left w:val="nil"/>
              <w:bottom w:val="single" w:sz="4" w:space="0" w:color="auto"/>
              <w:right w:val="single" w:sz="4" w:space="0" w:color="auto"/>
            </w:tcBorders>
            <w:shd w:val="clear" w:color="auto" w:fill="auto"/>
            <w:vAlign w:val="center"/>
            <w:hideMark/>
          </w:tcPr>
          <w:p w14:paraId="5432247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30" w:type="dxa"/>
            <w:tcBorders>
              <w:top w:val="nil"/>
              <w:left w:val="nil"/>
              <w:bottom w:val="single" w:sz="4" w:space="0" w:color="auto"/>
              <w:right w:val="single" w:sz="4" w:space="0" w:color="auto"/>
            </w:tcBorders>
            <w:shd w:val="clear" w:color="auto" w:fill="auto"/>
            <w:vAlign w:val="center"/>
            <w:hideMark/>
          </w:tcPr>
          <w:p w14:paraId="22AEDF0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02" w:type="dxa"/>
            <w:tcBorders>
              <w:top w:val="nil"/>
              <w:left w:val="nil"/>
              <w:bottom w:val="single" w:sz="4" w:space="0" w:color="auto"/>
              <w:right w:val="single" w:sz="4" w:space="0" w:color="auto"/>
            </w:tcBorders>
            <w:shd w:val="clear" w:color="auto" w:fill="auto"/>
            <w:vAlign w:val="center"/>
            <w:hideMark/>
          </w:tcPr>
          <w:p w14:paraId="29AFB11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03" w:type="dxa"/>
            <w:tcBorders>
              <w:top w:val="nil"/>
              <w:left w:val="nil"/>
              <w:bottom w:val="single" w:sz="4" w:space="0" w:color="auto"/>
              <w:right w:val="single" w:sz="4" w:space="0" w:color="auto"/>
            </w:tcBorders>
            <w:shd w:val="clear" w:color="auto" w:fill="auto"/>
            <w:vAlign w:val="center"/>
            <w:hideMark/>
          </w:tcPr>
          <w:p w14:paraId="5428AD9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700" w:type="dxa"/>
            <w:tcBorders>
              <w:top w:val="nil"/>
              <w:left w:val="nil"/>
              <w:bottom w:val="single" w:sz="4" w:space="0" w:color="auto"/>
              <w:right w:val="single" w:sz="4" w:space="0" w:color="auto"/>
            </w:tcBorders>
            <w:shd w:val="clear" w:color="auto" w:fill="auto"/>
            <w:vAlign w:val="center"/>
            <w:hideMark/>
          </w:tcPr>
          <w:p w14:paraId="37997B7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2.25</w:t>
            </w:r>
          </w:p>
        </w:tc>
        <w:tc>
          <w:tcPr>
            <w:tcW w:w="844" w:type="dxa"/>
            <w:tcBorders>
              <w:top w:val="nil"/>
              <w:left w:val="nil"/>
              <w:bottom w:val="single" w:sz="4" w:space="0" w:color="auto"/>
              <w:right w:val="single" w:sz="4" w:space="0" w:color="auto"/>
            </w:tcBorders>
            <w:shd w:val="clear" w:color="auto" w:fill="auto"/>
            <w:vAlign w:val="center"/>
            <w:hideMark/>
          </w:tcPr>
          <w:p w14:paraId="162146E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1.3</w:t>
            </w:r>
          </w:p>
        </w:tc>
      </w:tr>
      <w:tr w:rsidR="00026BDF" w:rsidRPr="001C65EE" w14:paraId="1C8DB775"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AD87E66"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4</w:t>
            </w:r>
          </w:p>
        </w:tc>
        <w:tc>
          <w:tcPr>
            <w:tcW w:w="1411" w:type="dxa"/>
            <w:tcBorders>
              <w:top w:val="nil"/>
              <w:left w:val="nil"/>
              <w:bottom w:val="single" w:sz="4" w:space="0" w:color="auto"/>
              <w:right w:val="single" w:sz="4" w:space="0" w:color="auto"/>
            </w:tcBorders>
            <w:shd w:val="clear" w:color="auto" w:fill="auto"/>
            <w:vAlign w:val="center"/>
            <w:hideMark/>
          </w:tcPr>
          <w:p w14:paraId="7E75CE7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30" w:type="dxa"/>
            <w:tcBorders>
              <w:top w:val="nil"/>
              <w:left w:val="nil"/>
              <w:bottom w:val="single" w:sz="4" w:space="0" w:color="auto"/>
              <w:right w:val="single" w:sz="4" w:space="0" w:color="auto"/>
            </w:tcBorders>
            <w:shd w:val="clear" w:color="auto" w:fill="auto"/>
            <w:vAlign w:val="center"/>
            <w:hideMark/>
          </w:tcPr>
          <w:p w14:paraId="087DB88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02" w:type="dxa"/>
            <w:tcBorders>
              <w:top w:val="nil"/>
              <w:left w:val="nil"/>
              <w:bottom w:val="single" w:sz="4" w:space="0" w:color="auto"/>
              <w:right w:val="single" w:sz="4" w:space="0" w:color="auto"/>
            </w:tcBorders>
            <w:shd w:val="clear" w:color="auto" w:fill="auto"/>
            <w:vAlign w:val="center"/>
            <w:hideMark/>
          </w:tcPr>
          <w:p w14:paraId="5A1C765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03" w:type="dxa"/>
            <w:tcBorders>
              <w:top w:val="nil"/>
              <w:left w:val="nil"/>
              <w:bottom w:val="single" w:sz="4" w:space="0" w:color="auto"/>
              <w:right w:val="single" w:sz="4" w:space="0" w:color="auto"/>
            </w:tcBorders>
            <w:shd w:val="clear" w:color="auto" w:fill="auto"/>
            <w:vAlign w:val="center"/>
            <w:hideMark/>
          </w:tcPr>
          <w:p w14:paraId="10F4F85F"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700" w:type="dxa"/>
            <w:tcBorders>
              <w:top w:val="nil"/>
              <w:left w:val="nil"/>
              <w:bottom w:val="single" w:sz="4" w:space="0" w:color="auto"/>
              <w:right w:val="single" w:sz="4" w:space="0" w:color="auto"/>
            </w:tcBorders>
            <w:shd w:val="clear" w:color="auto" w:fill="auto"/>
            <w:vAlign w:val="center"/>
            <w:hideMark/>
          </w:tcPr>
          <w:p w14:paraId="20E9054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844" w:type="dxa"/>
            <w:tcBorders>
              <w:top w:val="nil"/>
              <w:left w:val="nil"/>
              <w:bottom w:val="single" w:sz="4" w:space="0" w:color="auto"/>
              <w:right w:val="single" w:sz="4" w:space="0" w:color="auto"/>
            </w:tcBorders>
            <w:shd w:val="clear" w:color="auto" w:fill="auto"/>
            <w:vAlign w:val="center"/>
            <w:hideMark/>
          </w:tcPr>
          <w:p w14:paraId="267CCB3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28188497"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3C3C43F"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5</w:t>
            </w:r>
          </w:p>
        </w:tc>
        <w:tc>
          <w:tcPr>
            <w:tcW w:w="1411" w:type="dxa"/>
            <w:tcBorders>
              <w:top w:val="nil"/>
              <w:left w:val="nil"/>
              <w:bottom w:val="single" w:sz="4" w:space="0" w:color="auto"/>
              <w:right w:val="single" w:sz="4" w:space="0" w:color="auto"/>
            </w:tcBorders>
            <w:shd w:val="clear" w:color="auto" w:fill="auto"/>
            <w:vAlign w:val="center"/>
            <w:hideMark/>
          </w:tcPr>
          <w:p w14:paraId="084C55F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30" w:type="dxa"/>
            <w:tcBorders>
              <w:top w:val="nil"/>
              <w:left w:val="nil"/>
              <w:bottom w:val="single" w:sz="4" w:space="0" w:color="auto"/>
              <w:right w:val="single" w:sz="4" w:space="0" w:color="auto"/>
            </w:tcBorders>
            <w:shd w:val="clear" w:color="auto" w:fill="auto"/>
            <w:vAlign w:val="center"/>
            <w:hideMark/>
          </w:tcPr>
          <w:p w14:paraId="738ABD9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02" w:type="dxa"/>
            <w:tcBorders>
              <w:top w:val="nil"/>
              <w:left w:val="nil"/>
              <w:bottom w:val="single" w:sz="4" w:space="0" w:color="auto"/>
              <w:right w:val="single" w:sz="4" w:space="0" w:color="auto"/>
            </w:tcBorders>
            <w:shd w:val="clear" w:color="auto" w:fill="auto"/>
            <w:vAlign w:val="center"/>
            <w:hideMark/>
          </w:tcPr>
          <w:p w14:paraId="2C985A6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1403" w:type="dxa"/>
            <w:tcBorders>
              <w:top w:val="nil"/>
              <w:left w:val="nil"/>
              <w:bottom w:val="single" w:sz="4" w:space="0" w:color="auto"/>
              <w:right w:val="single" w:sz="4" w:space="0" w:color="auto"/>
            </w:tcBorders>
            <w:shd w:val="clear" w:color="auto" w:fill="auto"/>
            <w:vAlign w:val="center"/>
            <w:hideMark/>
          </w:tcPr>
          <w:p w14:paraId="6BD0970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c>
          <w:tcPr>
            <w:tcW w:w="700" w:type="dxa"/>
            <w:tcBorders>
              <w:top w:val="nil"/>
              <w:left w:val="nil"/>
              <w:bottom w:val="single" w:sz="4" w:space="0" w:color="auto"/>
              <w:right w:val="single" w:sz="4" w:space="0" w:color="auto"/>
            </w:tcBorders>
            <w:shd w:val="clear" w:color="auto" w:fill="auto"/>
            <w:vAlign w:val="center"/>
            <w:hideMark/>
          </w:tcPr>
          <w:p w14:paraId="3C3DD1B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2AA21BF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r>
      <w:tr w:rsidR="00026BDF" w:rsidRPr="001C65EE" w14:paraId="297B6776"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FA359D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6</w:t>
            </w:r>
          </w:p>
        </w:tc>
        <w:tc>
          <w:tcPr>
            <w:tcW w:w="1411" w:type="dxa"/>
            <w:tcBorders>
              <w:top w:val="nil"/>
              <w:left w:val="nil"/>
              <w:bottom w:val="single" w:sz="4" w:space="0" w:color="auto"/>
              <w:right w:val="single" w:sz="4" w:space="0" w:color="auto"/>
            </w:tcBorders>
            <w:shd w:val="clear" w:color="auto" w:fill="auto"/>
            <w:vAlign w:val="center"/>
            <w:hideMark/>
          </w:tcPr>
          <w:p w14:paraId="48BB584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5636E30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12B05CB6"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12E16B7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6CE37FC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6EAACCB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5FA038C9"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E3CE68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7</w:t>
            </w:r>
          </w:p>
        </w:tc>
        <w:tc>
          <w:tcPr>
            <w:tcW w:w="1411" w:type="dxa"/>
            <w:tcBorders>
              <w:top w:val="nil"/>
              <w:left w:val="nil"/>
              <w:bottom w:val="single" w:sz="4" w:space="0" w:color="auto"/>
              <w:right w:val="single" w:sz="4" w:space="0" w:color="auto"/>
            </w:tcBorders>
            <w:shd w:val="clear" w:color="auto" w:fill="auto"/>
            <w:vAlign w:val="center"/>
            <w:hideMark/>
          </w:tcPr>
          <w:p w14:paraId="01644F3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003EBA6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0181023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4D3DE6C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5ACC487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6A051269"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48B0C7EC"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0AF4D6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8</w:t>
            </w:r>
          </w:p>
        </w:tc>
        <w:tc>
          <w:tcPr>
            <w:tcW w:w="1411" w:type="dxa"/>
            <w:tcBorders>
              <w:top w:val="nil"/>
              <w:left w:val="nil"/>
              <w:bottom w:val="single" w:sz="4" w:space="0" w:color="auto"/>
              <w:right w:val="single" w:sz="4" w:space="0" w:color="auto"/>
            </w:tcBorders>
            <w:shd w:val="clear" w:color="auto" w:fill="auto"/>
            <w:vAlign w:val="center"/>
            <w:hideMark/>
          </w:tcPr>
          <w:p w14:paraId="00399F8C"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3DAA6EA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4E63469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519731B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305B422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380591A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70615A4E"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0F27AE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9</w:t>
            </w:r>
          </w:p>
        </w:tc>
        <w:tc>
          <w:tcPr>
            <w:tcW w:w="1411" w:type="dxa"/>
            <w:tcBorders>
              <w:top w:val="nil"/>
              <w:left w:val="nil"/>
              <w:bottom w:val="single" w:sz="4" w:space="0" w:color="auto"/>
              <w:right w:val="single" w:sz="4" w:space="0" w:color="auto"/>
            </w:tcBorders>
            <w:shd w:val="clear" w:color="auto" w:fill="auto"/>
            <w:vAlign w:val="center"/>
            <w:hideMark/>
          </w:tcPr>
          <w:p w14:paraId="3162E04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3942687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43ADABC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78A43E1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4FEE22A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7DB3A8D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2D0D741B"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1D25BA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lastRenderedPageBreak/>
              <w:t>Total</w:t>
            </w:r>
          </w:p>
        </w:tc>
        <w:tc>
          <w:tcPr>
            <w:tcW w:w="1411" w:type="dxa"/>
            <w:tcBorders>
              <w:top w:val="nil"/>
              <w:left w:val="nil"/>
              <w:bottom w:val="single" w:sz="4" w:space="0" w:color="auto"/>
              <w:right w:val="single" w:sz="4" w:space="0" w:color="auto"/>
            </w:tcBorders>
            <w:shd w:val="clear" w:color="auto" w:fill="auto"/>
            <w:vAlign w:val="center"/>
            <w:hideMark/>
          </w:tcPr>
          <w:p w14:paraId="5E12A5C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13</w:t>
            </w:r>
          </w:p>
        </w:tc>
        <w:tc>
          <w:tcPr>
            <w:tcW w:w="1430" w:type="dxa"/>
            <w:tcBorders>
              <w:top w:val="nil"/>
              <w:left w:val="nil"/>
              <w:bottom w:val="single" w:sz="4" w:space="0" w:color="auto"/>
              <w:right w:val="single" w:sz="4" w:space="0" w:color="auto"/>
            </w:tcBorders>
            <w:shd w:val="clear" w:color="auto" w:fill="auto"/>
            <w:vAlign w:val="center"/>
            <w:hideMark/>
          </w:tcPr>
          <w:p w14:paraId="0C6E9F29"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12</w:t>
            </w:r>
          </w:p>
        </w:tc>
        <w:tc>
          <w:tcPr>
            <w:tcW w:w="1402" w:type="dxa"/>
            <w:tcBorders>
              <w:top w:val="nil"/>
              <w:left w:val="nil"/>
              <w:bottom w:val="single" w:sz="4" w:space="0" w:color="auto"/>
              <w:right w:val="single" w:sz="4" w:space="0" w:color="auto"/>
            </w:tcBorders>
            <w:shd w:val="clear" w:color="auto" w:fill="auto"/>
            <w:vAlign w:val="center"/>
            <w:hideMark/>
          </w:tcPr>
          <w:p w14:paraId="0ADC8F89"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9</w:t>
            </w:r>
          </w:p>
        </w:tc>
        <w:tc>
          <w:tcPr>
            <w:tcW w:w="1403" w:type="dxa"/>
            <w:tcBorders>
              <w:top w:val="nil"/>
              <w:left w:val="nil"/>
              <w:bottom w:val="single" w:sz="4" w:space="0" w:color="auto"/>
              <w:right w:val="single" w:sz="4" w:space="0" w:color="auto"/>
            </w:tcBorders>
            <w:shd w:val="clear" w:color="auto" w:fill="auto"/>
            <w:vAlign w:val="center"/>
            <w:hideMark/>
          </w:tcPr>
          <w:p w14:paraId="4A7B319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8</w:t>
            </w:r>
          </w:p>
        </w:tc>
        <w:tc>
          <w:tcPr>
            <w:tcW w:w="700" w:type="dxa"/>
            <w:tcBorders>
              <w:top w:val="nil"/>
              <w:left w:val="nil"/>
              <w:bottom w:val="single" w:sz="4" w:space="0" w:color="auto"/>
              <w:right w:val="single" w:sz="4" w:space="0" w:color="auto"/>
            </w:tcBorders>
            <w:shd w:val="clear" w:color="auto" w:fill="auto"/>
            <w:vAlign w:val="center"/>
            <w:hideMark/>
          </w:tcPr>
          <w:p w14:paraId="732B52BC"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10.5</w:t>
            </w:r>
          </w:p>
        </w:tc>
        <w:tc>
          <w:tcPr>
            <w:tcW w:w="844" w:type="dxa"/>
            <w:tcBorders>
              <w:top w:val="nil"/>
              <w:left w:val="nil"/>
              <w:bottom w:val="single" w:sz="4" w:space="0" w:color="auto"/>
              <w:right w:val="single" w:sz="4" w:space="0" w:color="auto"/>
            </w:tcBorders>
            <w:shd w:val="clear" w:color="auto" w:fill="auto"/>
            <w:vAlign w:val="center"/>
            <w:hideMark/>
          </w:tcPr>
          <w:p w14:paraId="6011FC6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2.38</w:t>
            </w:r>
          </w:p>
        </w:tc>
      </w:tr>
      <w:tr w:rsidR="00026BDF" w:rsidRPr="001C65EE" w14:paraId="4BB49FE6" w14:textId="77777777" w:rsidTr="0047119E">
        <w:trPr>
          <w:trHeight w:val="184"/>
          <w:jc w:val="center"/>
        </w:trPr>
        <w:tc>
          <w:tcPr>
            <w:tcW w:w="81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2C0479"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Post-AVS integration</w:t>
            </w:r>
          </w:p>
        </w:tc>
      </w:tr>
      <w:tr w:rsidR="00026BDF" w:rsidRPr="001C65EE" w14:paraId="456E0238"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B6723D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11" w:type="dxa"/>
            <w:tcBorders>
              <w:top w:val="nil"/>
              <w:left w:val="nil"/>
              <w:bottom w:val="single" w:sz="4" w:space="0" w:color="auto"/>
              <w:right w:val="single" w:sz="4" w:space="0" w:color="auto"/>
            </w:tcBorders>
            <w:shd w:val="clear" w:color="auto" w:fill="auto"/>
            <w:vAlign w:val="center"/>
            <w:hideMark/>
          </w:tcPr>
          <w:p w14:paraId="6ED65DB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30D656A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29C7136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5540C60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30FA432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0BEE062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6EE51FE3"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857FD3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11" w:type="dxa"/>
            <w:tcBorders>
              <w:top w:val="nil"/>
              <w:left w:val="nil"/>
              <w:bottom w:val="single" w:sz="4" w:space="0" w:color="auto"/>
              <w:right w:val="single" w:sz="4" w:space="0" w:color="auto"/>
            </w:tcBorders>
            <w:shd w:val="clear" w:color="auto" w:fill="auto"/>
            <w:vAlign w:val="center"/>
            <w:hideMark/>
          </w:tcPr>
          <w:p w14:paraId="52998C1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679FD37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797FCA1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367933C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62C4BF6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30EF7EE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6D506547"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70546D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11" w:type="dxa"/>
            <w:tcBorders>
              <w:top w:val="nil"/>
              <w:left w:val="nil"/>
              <w:bottom w:val="single" w:sz="4" w:space="0" w:color="auto"/>
              <w:right w:val="single" w:sz="4" w:space="0" w:color="auto"/>
            </w:tcBorders>
            <w:shd w:val="clear" w:color="auto" w:fill="auto"/>
            <w:vAlign w:val="center"/>
            <w:hideMark/>
          </w:tcPr>
          <w:p w14:paraId="507B9E3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30" w:type="dxa"/>
            <w:tcBorders>
              <w:top w:val="nil"/>
              <w:left w:val="nil"/>
              <w:bottom w:val="single" w:sz="4" w:space="0" w:color="auto"/>
              <w:right w:val="single" w:sz="4" w:space="0" w:color="auto"/>
            </w:tcBorders>
            <w:shd w:val="clear" w:color="auto" w:fill="auto"/>
            <w:vAlign w:val="center"/>
            <w:hideMark/>
          </w:tcPr>
          <w:p w14:paraId="3171845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02" w:type="dxa"/>
            <w:tcBorders>
              <w:top w:val="nil"/>
              <w:left w:val="nil"/>
              <w:bottom w:val="single" w:sz="4" w:space="0" w:color="auto"/>
              <w:right w:val="single" w:sz="4" w:space="0" w:color="auto"/>
            </w:tcBorders>
            <w:shd w:val="clear" w:color="auto" w:fill="auto"/>
            <w:vAlign w:val="center"/>
            <w:hideMark/>
          </w:tcPr>
          <w:p w14:paraId="6AEEC7B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03" w:type="dxa"/>
            <w:tcBorders>
              <w:top w:val="nil"/>
              <w:left w:val="nil"/>
              <w:bottom w:val="single" w:sz="4" w:space="0" w:color="auto"/>
              <w:right w:val="single" w:sz="4" w:space="0" w:color="auto"/>
            </w:tcBorders>
            <w:shd w:val="clear" w:color="auto" w:fill="auto"/>
            <w:vAlign w:val="center"/>
            <w:hideMark/>
          </w:tcPr>
          <w:p w14:paraId="65705D3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700" w:type="dxa"/>
            <w:tcBorders>
              <w:top w:val="nil"/>
              <w:left w:val="nil"/>
              <w:bottom w:val="single" w:sz="4" w:space="0" w:color="auto"/>
              <w:right w:val="single" w:sz="4" w:space="0" w:color="auto"/>
            </w:tcBorders>
            <w:shd w:val="clear" w:color="auto" w:fill="auto"/>
            <w:vAlign w:val="center"/>
            <w:hideMark/>
          </w:tcPr>
          <w:p w14:paraId="22B6025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844" w:type="dxa"/>
            <w:tcBorders>
              <w:top w:val="nil"/>
              <w:left w:val="nil"/>
              <w:bottom w:val="single" w:sz="4" w:space="0" w:color="auto"/>
              <w:right w:val="single" w:sz="4" w:space="0" w:color="auto"/>
            </w:tcBorders>
            <w:shd w:val="clear" w:color="auto" w:fill="auto"/>
            <w:vAlign w:val="center"/>
            <w:hideMark/>
          </w:tcPr>
          <w:p w14:paraId="3B84B63F"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7DC0C937"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04A3F3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4</w:t>
            </w:r>
          </w:p>
        </w:tc>
        <w:tc>
          <w:tcPr>
            <w:tcW w:w="1411" w:type="dxa"/>
            <w:tcBorders>
              <w:top w:val="nil"/>
              <w:left w:val="nil"/>
              <w:bottom w:val="single" w:sz="4" w:space="0" w:color="auto"/>
              <w:right w:val="single" w:sz="4" w:space="0" w:color="auto"/>
            </w:tcBorders>
            <w:shd w:val="clear" w:color="auto" w:fill="auto"/>
            <w:vAlign w:val="center"/>
            <w:hideMark/>
          </w:tcPr>
          <w:p w14:paraId="7B6711F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30" w:type="dxa"/>
            <w:tcBorders>
              <w:top w:val="nil"/>
              <w:left w:val="nil"/>
              <w:bottom w:val="single" w:sz="4" w:space="0" w:color="auto"/>
              <w:right w:val="single" w:sz="4" w:space="0" w:color="auto"/>
            </w:tcBorders>
            <w:shd w:val="clear" w:color="auto" w:fill="auto"/>
            <w:vAlign w:val="center"/>
            <w:hideMark/>
          </w:tcPr>
          <w:p w14:paraId="3C282DE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02" w:type="dxa"/>
            <w:tcBorders>
              <w:top w:val="nil"/>
              <w:left w:val="nil"/>
              <w:bottom w:val="single" w:sz="4" w:space="0" w:color="auto"/>
              <w:right w:val="single" w:sz="4" w:space="0" w:color="auto"/>
            </w:tcBorders>
            <w:shd w:val="clear" w:color="auto" w:fill="auto"/>
            <w:vAlign w:val="center"/>
            <w:hideMark/>
          </w:tcPr>
          <w:p w14:paraId="6C75F1B9"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03" w:type="dxa"/>
            <w:tcBorders>
              <w:top w:val="nil"/>
              <w:left w:val="nil"/>
              <w:bottom w:val="single" w:sz="4" w:space="0" w:color="auto"/>
              <w:right w:val="single" w:sz="4" w:space="0" w:color="auto"/>
            </w:tcBorders>
            <w:shd w:val="clear" w:color="auto" w:fill="auto"/>
            <w:vAlign w:val="center"/>
            <w:hideMark/>
          </w:tcPr>
          <w:p w14:paraId="03C73B4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700" w:type="dxa"/>
            <w:tcBorders>
              <w:top w:val="nil"/>
              <w:left w:val="nil"/>
              <w:bottom w:val="single" w:sz="4" w:space="0" w:color="auto"/>
              <w:right w:val="single" w:sz="4" w:space="0" w:color="auto"/>
            </w:tcBorders>
            <w:shd w:val="clear" w:color="auto" w:fill="auto"/>
            <w:vAlign w:val="center"/>
            <w:hideMark/>
          </w:tcPr>
          <w:p w14:paraId="0D38AF3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844" w:type="dxa"/>
            <w:tcBorders>
              <w:top w:val="nil"/>
              <w:left w:val="nil"/>
              <w:bottom w:val="single" w:sz="4" w:space="0" w:color="auto"/>
              <w:right w:val="single" w:sz="4" w:space="0" w:color="auto"/>
            </w:tcBorders>
            <w:shd w:val="clear" w:color="auto" w:fill="auto"/>
            <w:vAlign w:val="center"/>
            <w:hideMark/>
          </w:tcPr>
          <w:p w14:paraId="52A77859"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6D8E5943"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7F44FD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5</w:t>
            </w:r>
          </w:p>
        </w:tc>
        <w:tc>
          <w:tcPr>
            <w:tcW w:w="1411" w:type="dxa"/>
            <w:tcBorders>
              <w:top w:val="nil"/>
              <w:left w:val="nil"/>
              <w:bottom w:val="single" w:sz="4" w:space="0" w:color="auto"/>
              <w:right w:val="single" w:sz="4" w:space="0" w:color="auto"/>
            </w:tcBorders>
            <w:shd w:val="clear" w:color="auto" w:fill="auto"/>
            <w:vAlign w:val="center"/>
            <w:hideMark/>
          </w:tcPr>
          <w:p w14:paraId="22A7FDE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30" w:type="dxa"/>
            <w:tcBorders>
              <w:top w:val="nil"/>
              <w:left w:val="nil"/>
              <w:bottom w:val="single" w:sz="4" w:space="0" w:color="auto"/>
              <w:right w:val="single" w:sz="4" w:space="0" w:color="auto"/>
            </w:tcBorders>
            <w:shd w:val="clear" w:color="auto" w:fill="auto"/>
            <w:vAlign w:val="center"/>
            <w:hideMark/>
          </w:tcPr>
          <w:p w14:paraId="21C3E74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02" w:type="dxa"/>
            <w:tcBorders>
              <w:top w:val="nil"/>
              <w:left w:val="nil"/>
              <w:bottom w:val="single" w:sz="4" w:space="0" w:color="auto"/>
              <w:right w:val="single" w:sz="4" w:space="0" w:color="auto"/>
            </w:tcBorders>
            <w:shd w:val="clear" w:color="auto" w:fill="auto"/>
            <w:vAlign w:val="center"/>
            <w:hideMark/>
          </w:tcPr>
          <w:p w14:paraId="738D35C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1403" w:type="dxa"/>
            <w:tcBorders>
              <w:top w:val="nil"/>
              <w:left w:val="nil"/>
              <w:bottom w:val="single" w:sz="4" w:space="0" w:color="auto"/>
              <w:right w:val="single" w:sz="4" w:space="0" w:color="auto"/>
            </w:tcBorders>
            <w:shd w:val="clear" w:color="auto" w:fill="auto"/>
            <w:vAlign w:val="center"/>
            <w:hideMark/>
          </w:tcPr>
          <w:p w14:paraId="0B553E6F"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700" w:type="dxa"/>
            <w:tcBorders>
              <w:top w:val="nil"/>
              <w:left w:val="nil"/>
              <w:bottom w:val="single" w:sz="4" w:space="0" w:color="auto"/>
              <w:right w:val="single" w:sz="4" w:space="0" w:color="auto"/>
            </w:tcBorders>
            <w:shd w:val="clear" w:color="auto" w:fill="auto"/>
            <w:vAlign w:val="center"/>
            <w:hideMark/>
          </w:tcPr>
          <w:p w14:paraId="6048D6B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w:t>
            </w:r>
          </w:p>
        </w:tc>
        <w:tc>
          <w:tcPr>
            <w:tcW w:w="844" w:type="dxa"/>
            <w:tcBorders>
              <w:top w:val="nil"/>
              <w:left w:val="nil"/>
              <w:bottom w:val="single" w:sz="4" w:space="0" w:color="auto"/>
              <w:right w:val="single" w:sz="4" w:space="0" w:color="auto"/>
            </w:tcBorders>
            <w:shd w:val="clear" w:color="auto" w:fill="auto"/>
            <w:vAlign w:val="center"/>
            <w:hideMark/>
          </w:tcPr>
          <w:p w14:paraId="6561A1F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263D6481"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90360D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6</w:t>
            </w:r>
          </w:p>
        </w:tc>
        <w:tc>
          <w:tcPr>
            <w:tcW w:w="1411" w:type="dxa"/>
            <w:tcBorders>
              <w:top w:val="nil"/>
              <w:left w:val="nil"/>
              <w:bottom w:val="single" w:sz="4" w:space="0" w:color="auto"/>
              <w:right w:val="single" w:sz="4" w:space="0" w:color="auto"/>
            </w:tcBorders>
            <w:shd w:val="clear" w:color="auto" w:fill="auto"/>
            <w:vAlign w:val="center"/>
            <w:hideMark/>
          </w:tcPr>
          <w:p w14:paraId="61A606F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3966382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218504C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07148974"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39E9EE19"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5E600F7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2B54A571"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C45656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7</w:t>
            </w:r>
          </w:p>
        </w:tc>
        <w:tc>
          <w:tcPr>
            <w:tcW w:w="1411" w:type="dxa"/>
            <w:tcBorders>
              <w:top w:val="nil"/>
              <w:left w:val="nil"/>
              <w:bottom w:val="single" w:sz="4" w:space="0" w:color="auto"/>
              <w:right w:val="single" w:sz="4" w:space="0" w:color="auto"/>
            </w:tcBorders>
            <w:shd w:val="clear" w:color="auto" w:fill="auto"/>
            <w:vAlign w:val="center"/>
            <w:hideMark/>
          </w:tcPr>
          <w:p w14:paraId="2D5017A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74A754F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5272E9D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1D817E7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0BDCD51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31E7F95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473AC442"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95BB40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8</w:t>
            </w:r>
          </w:p>
        </w:tc>
        <w:tc>
          <w:tcPr>
            <w:tcW w:w="1411" w:type="dxa"/>
            <w:tcBorders>
              <w:top w:val="nil"/>
              <w:left w:val="nil"/>
              <w:bottom w:val="single" w:sz="4" w:space="0" w:color="auto"/>
              <w:right w:val="single" w:sz="4" w:space="0" w:color="auto"/>
            </w:tcBorders>
            <w:shd w:val="clear" w:color="auto" w:fill="auto"/>
            <w:vAlign w:val="center"/>
            <w:hideMark/>
          </w:tcPr>
          <w:p w14:paraId="7E16FB95"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52BE916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73DD8D4F"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15830EE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5FE0846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4344F368"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546025A0"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487EBE6"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9</w:t>
            </w:r>
          </w:p>
        </w:tc>
        <w:tc>
          <w:tcPr>
            <w:tcW w:w="1411" w:type="dxa"/>
            <w:tcBorders>
              <w:top w:val="nil"/>
              <w:left w:val="nil"/>
              <w:bottom w:val="single" w:sz="4" w:space="0" w:color="auto"/>
              <w:right w:val="single" w:sz="4" w:space="0" w:color="auto"/>
            </w:tcBorders>
            <w:shd w:val="clear" w:color="auto" w:fill="auto"/>
            <w:vAlign w:val="center"/>
            <w:hideMark/>
          </w:tcPr>
          <w:p w14:paraId="5D719AD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30" w:type="dxa"/>
            <w:tcBorders>
              <w:top w:val="nil"/>
              <w:left w:val="nil"/>
              <w:bottom w:val="single" w:sz="4" w:space="0" w:color="auto"/>
              <w:right w:val="single" w:sz="4" w:space="0" w:color="auto"/>
            </w:tcBorders>
            <w:shd w:val="clear" w:color="auto" w:fill="auto"/>
            <w:vAlign w:val="center"/>
            <w:hideMark/>
          </w:tcPr>
          <w:p w14:paraId="6A4D099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2" w:type="dxa"/>
            <w:tcBorders>
              <w:top w:val="nil"/>
              <w:left w:val="nil"/>
              <w:bottom w:val="single" w:sz="4" w:space="0" w:color="auto"/>
              <w:right w:val="single" w:sz="4" w:space="0" w:color="auto"/>
            </w:tcBorders>
            <w:shd w:val="clear" w:color="auto" w:fill="auto"/>
            <w:vAlign w:val="center"/>
            <w:hideMark/>
          </w:tcPr>
          <w:p w14:paraId="28767CA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1403" w:type="dxa"/>
            <w:tcBorders>
              <w:top w:val="nil"/>
              <w:left w:val="nil"/>
              <w:bottom w:val="single" w:sz="4" w:space="0" w:color="auto"/>
              <w:right w:val="single" w:sz="4" w:space="0" w:color="auto"/>
            </w:tcBorders>
            <w:shd w:val="clear" w:color="auto" w:fill="auto"/>
            <w:vAlign w:val="center"/>
            <w:hideMark/>
          </w:tcPr>
          <w:p w14:paraId="64995B2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700" w:type="dxa"/>
            <w:tcBorders>
              <w:top w:val="nil"/>
              <w:left w:val="nil"/>
              <w:bottom w:val="single" w:sz="4" w:space="0" w:color="auto"/>
              <w:right w:val="single" w:sz="4" w:space="0" w:color="auto"/>
            </w:tcBorders>
            <w:shd w:val="clear" w:color="auto" w:fill="auto"/>
            <w:vAlign w:val="center"/>
            <w:hideMark/>
          </w:tcPr>
          <w:p w14:paraId="6A4BA9E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w:t>
            </w:r>
          </w:p>
        </w:tc>
        <w:tc>
          <w:tcPr>
            <w:tcW w:w="844" w:type="dxa"/>
            <w:tcBorders>
              <w:top w:val="nil"/>
              <w:left w:val="nil"/>
              <w:bottom w:val="single" w:sz="4" w:space="0" w:color="auto"/>
              <w:right w:val="single" w:sz="4" w:space="0" w:color="auto"/>
            </w:tcBorders>
            <w:shd w:val="clear" w:color="auto" w:fill="auto"/>
            <w:vAlign w:val="center"/>
            <w:hideMark/>
          </w:tcPr>
          <w:p w14:paraId="73C1297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166C0890" w14:textId="77777777" w:rsidTr="0047119E">
        <w:trPr>
          <w:trHeight w:val="184"/>
          <w:jc w:val="center"/>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79046E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Total</w:t>
            </w:r>
          </w:p>
        </w:tc>
        <w:tc>
          <w:tcPr>
            <w:tcW w:w="1411" w:type="dxa"/>
            <w:tcBorders>
              <w:top w:val="nil"/>
              <w:left w:val="nil"/>
              <w:bottom w:val="single" w:sz="4" w:space="0" w:color="auto"/>
              <w:right w:val="single" w:sz="4" w:space="0" w:color="auto"/>
            </w:tcBorders>
            <w:shd w:val="clear" w:color="auto" w:fill="auto"/>
            <w:vAlign w:val="center"/>
            <w:hideMark/>
          </w:tcPr>
          <w:p w14:paraId="44FD460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13</w:t>
            </w:r>
          </w:p>
        </w:tc>
        <w:tc>
          <w:tcPr>
            <w:tcW w:w="1430" w:type="dxa"/>
            <w:tcBorders>
              <w:top w:val="nil"/>
              <w:left w:val="nil"/>
              <w:bottom w:val="single" w:sz="4" w:space="0" w:color="auto"/>
              <w:right w:val="single" w:sz="4" w:space="0" w:color="auto"/>
            </w:tcBorders>
            <w:shd w:val="clear" w:color="auto" w:fill="auto"/>
            <w:vAlign w:val="center"/>
            <w:hideMark/>
          </w:tcPr>
          <w:p w14:paraId="4374CEF7"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13</w:t>
            </w:r>
          </w:p>
        </w:tc>
        <w:tc>
          <w:tcPr>
            <w:tcW w:w="1402" w:type="dxa"/>
            <w:tcBorders>
              <w:top w:val="nil"/>
              <w:left w:val="nil"/>
              <w:bottom w:val="single" w:sz="4" w:space="0" w:color="auto"/>
              <w:right w:val="single" w:sz="4" w:space="0" w:color="auto"/>
            </w:tcBorders>
            <w:shd w:val="clear" w:color="auto" w:fill="auto"/>
            <w:vAlign w:val="center"/>
            <w:hideMark/>
          </w:tcPr>
          <w:p w14:paraId="7334B1B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13</w:t>
            </w:r>
          </w:p>
        </w:tc>
        <w:tc>
          <w:tcPr>
            <w:tcW w:w="1403" w:type="dxa"/>
            <w:tcBorders>
              <w:top w:val="nil"/>
              <w:left w:val="nil"/>
              <w:bottom w:val="single" w:sz="4" w:space="0" w:color="auto"/>
              <w:right w:val="single" w:sz="4" w:space="0" w:color="auto"/>
            </w:tcBorders>
            <w:shd w:val="clear" w:color="auto" w:fill="auto"/>
            <w:vAlign w:val="center"/>
            <w:hideMark/>
          </w:tcPr>
          <w:p w14:paraId="4791DCF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13</w:t>
            </w:r>
          </w:p>
        </w:tc>
        <w:tc>
          <w:tcPr>
            <w:tcW w:w="700" w:type="dxa"/>
            <w:tcBorders>
              <w:top w:val="nil"/>
              <w:left w:val="nil"/>
              <w:bottom w:val="single" w:sz="4" w:space="0" w:color="auto"/>
              <w:right w:val="single" w:sz="4" w:space="0" w:color="auto"/>
            </w:tcBorders>
            <w:shd w:val="clear" w:color="auto" w:fill="auto"/>
            <w:vAlign w:val="center"/>
            <w:hideMark/>
          </w:tcPr>
          <w:p w14:paraId="41D5FD5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13</w:t>
            </w:r>
          </w:p>
        </w:tc>
        <w:tc>
          <w:tcPr>
            <w:tcW w:w="844" w:type="dxa"/>
            <w:tcBorders>
              <w:top w:val="nil"/>
              <w:left w:val="nil"/>
              <w:bottom w:val="single" w:sz="4" w:space="0" w:color="auto"/>
              <w:right w:val="single" w:sz="4" w:space="0" w:color="auto"/>
            </w:tcBorders>
            <w:shd w:val="clear" w:color="auto" w:fill="auto"/>
            <w:vAlign w:val="center"/>
            <w:hideMark/>
          </w:tcPr>
          <w:p w14:paraId="4963D841"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w:t>
            </w:r>
          </w:p>
        </w:tc>
      </w:tr>
      <w:tr w:rsidR="00026BDF" w:rsidRPr="001C65EE" w14:paraId="62534502" w14:textId="77777777" w:rsidTr="0047119E">
        <w:trPr>
          <w:trHeight w:val="184"/>
          <w:jc w:val="center"/>
        </w:trPr>
        <w:tc>
          <w:tcPr>
            <w:tcW w:w="81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9132B6"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7E6361">
              <w:rPr>
                <w:rFonts w:eastAsia="Times New Roman"/>
                <w:color w:val="000000"/>
                <w:kern w:val="0"/>
                <w:sz w:val="20"/>
                <w:szCs w:val="20"/>
                <w14:ligatures w14:val="none"/>
              </w:rPr>
              <w:t>Note. For Questions 1, 2, and 6-9: each correct answer = 1 point. For Questions 3: correct answer = 3 points. For Questions 4 and 5: each correct answer = 2 points.</w:t>
            </w:r>
          </w:p>
        </w:tc>
      </w:tr>
    </w:tbl>
    <w:p w14:paraId="2F8B5636" w14:textId="77777777" w:rsidR="00026BDF" w:rsidRPr="001C65EE" w:rsidRDefault="00026BDF" w:rsidP="00026BDF">
      <w:pPr>
        <w:spacing w:after="0" w:afterAutospacing="0" w:line="240" w:lineRule="auto"/>
        <w:ind w:firstLine="0"/>
        <w:contextualSpacing/>
        <w:mirrorIndents/>
        <w:jc w:val="both"/>
        <w:rPr>
          <w:sz w:val="20"/>
          <w:szCs w:val="20"/>
        </w:rPr>
      </w:pPr>
    </w:p>
    <w:p w14:paraId="0F773275" w14:textId="28F69683" w:rsidR="00026BDF" w:rsidRPr="001C65EE" w:rsidRDefault="00026BDF" w:rsidP="00026BDF">
      <w:pPr>
        <w:spacing w:after="0" w:afterAutospacing="0" w:line="240" w:lineRule="auto"/>
        <w:ind w:firstLine="0"/>
        <w:contextualSpacing/>
        <w:mirrorIndents/>
        <w:jc w:val="center"/>
        <w:rPr>
          <w:sz w:val="20"/>
          <w:szCs w:val="20"/>
        </w:rPr>
      </w:pPr>
      <w:r w:rsidRPr="001C65EE">
        <w:rPr>
          <w:b/>
          <w:bCs/>
          <w:sz w:val="20"/>
          <w:szCs w:val="20"/>
        </w:rPr>
        <w:t>Table 2:</w:t>
      </w:r>
      <w:r w:rsidRPr="001C65EE">
        <w:rPr>
          <w:sz w:val="20"/>
          <w:szCs w:val="20"/>
        </w:rPr>
        <w:t xml:space="preserve"> Summary of KAP-PAQ Results </w:t>
      </w:r>
      <w:r w:rsidR="00021A63" w:rsidRPr="001C65EE">
        <w:rPr>
          <w:sz w:val="20"/>
          <w:szCs w:val="20"/>
        </w:rPr>
        <w:t>before</w:t>
      </w:r>
      <w:r w:rsidRPr="001C65EE">
        <w:rPr>
          <w:sz w:val="20"/>
          <w:szCs w:val="20"/>
        </w:rPr>
        <w:t xml:space="preserve"> and After AVS Integration</w:t>
      </w:r>
      <w:r>
        <w:rPr>
          <w:sz w:val="20"/>
          <w:szCs w:val="20"/>
        </w:rPr>
        <w:t>.</w:t>
      </w:r>
    </w:p>
    <w:p w14:paraId="6AD76800" w14:textId="77777777" w:rsidR="00026BDF" w:rsidRPr="001C65EE" w:rsidRDefault="00026BDF" w:rsidP="00026BDF">
      <w:pPr>
        <w:spacing w:after="0" w:afterAutospacing="0" w:line="240" w:lineRule="auto"/>
        <w:ind w:firstLine="0"/>
        <w:contextualSpacing/>
        <w:mirrorIndents/>
        <w:jc w:val="both"/>
        <w:rPr>
          <w:sz w:val="20"/>
          <w:szCs w:val="20"/>
        </w:rPr>
      </w:pPr>
    </w:p>
    <w:tbl>
      <w:tblPr>
        <w:tblW w:w="7921" w:type="dxa"/>
        <w:jc w:val="center"/>
        <w:tblLook w:val="04A0" w:firstRow="1" w:lastRow="0" w:firstColumn="1" w:lastColumn="0" w:noHBand="0" w:noVBand="1"/>
      </w:tblPr>
      <w:tblGrid>
        <w:gridCol w:w="1429"/>
        <w:gridCol w:w="1257"/>
        <w:gridCol w:w="1357"/>
        <w:gridCol w:w="1257"/>
        <w:gridCol w:w="1163"/>
        <w:gridCol w:w="1458"/>
      </w:tblGrid>
      <w:tr w:rsidR="00026BDF" w:rsidRPr="001C65EE" w14:paraId="79A17FD3" w14:textId="77777777" w:rsidTr="0047119E">
        <w:trPr>
          <w:trHeight w:val="16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BC5D"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5DF01912" w14:textId="77777777" w:rsidR="00026BDF" w:rsidRPr="001C65EE" w:rsidRDefault="00026BDF" w:rsidP="0047119E">
            <w:pPr>
              <w:spacing w:after="0" w:afterAutospacing="0" w:line="240" w:lineRule="auto"/>
              <w:ind w:firstLine="0"/>
              <w:contextualSpacing/>
              <w:mirrorIndents/>
              <w:jc w:val="center"/>
              <w:rPr>
                <w:rFonts w:eastAsia="Times New Roman"/>
                <w:iCs/>
                <w:color w:val="000000"/>
                <w:kern w:val="0"/>
                <w:sz w:val="20"/>
                <w:szCs w:val="20"/>
                <w14:ligatures w14:val="none"/>
              </w:rPr>
            </w:pPr>
            <w:r w:rsidRPr="001C65EE">
              <w:rPr>
                <w:rFonts w:eastAsia="Times New Roman"/>
                <w:iCs/>
                <w:color w:val="000000"/>
                <w:kern w:val="0"/>
                <w:sz w:val="20"/>
                <w:szCs w:val="20"/>
                <w14:ligatures w14:val="none"/>
              </w:rPr>
              <w:t>M</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5EFEA6D9" w14:textId="77777777" w:rsidR="00026BDF" w:rsidRPr="001C65EE" w:rsidRDefault="00026BDF" w:rsidP="0047119E">
            <w:pPr>
              <w:spacing w:after="0" w:afterAutospacing="0" w:line="240" w:lineRule="auto"/>
              <w:ind w:firstLine="0"/>
              <w:contextualSpacing/>
              <w:mirrorIndents/>
              <w:jc w:val="center"/>
              <w:rPr>
                <w:rFonts w:eastAsia="Times New Roman"/>
                <w:iCs/>
                <w:color w:val="000000"/>
                <w:kern w:val="0"/>
                <w:sz w:val="20"/>
                <w:szCs w:val="20"/>
                <w14:ligatures w14:val="none"/>
              </w:rPr>
            </w:pPr>
            <w:r w:rsidRPr="001C65EE">
              <w:rPr>
                <w:rFonts w:eastAsia="Times New Roman"/>
                <w:iCs/>
                <w:color w:val="000000"/>
                <w:kern w:val="0"/>
                <w:sz w:val="20"/>
                <w:szCs w:val="20"/>
                <w14:ligatures w14:val="none"/>
              </w:rPr>
              <w:t>SD</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6A53AE78" w14:textId="77777777" w:rsidR="00026BDF" w:rsidRPr="001C65EE" w:rsidRDefault="00026BDF" w:rsidP="0047119E">
            <w:pPr>
              <w:spacing w:after="0" w:afterAutospacing="0" w:line="240" w:lineRule="auto"/>
              <w:ind w:firstLine="0"/>
              <w:contextualSpacing/>
              <w:mirrorIndents/>
              <w:jc w:val="center"/>
              <w:rPr>
                <w:rFonts w:eastAsia="Times New Roman"/>
                <w:iCs/>
                <w:color w:val="000000"/>
                <w:kern w:val="0"/>
                <w:sz w:val="20"/>
                <w:szCs w:val="20"/>
                <w14:ligatures w14:val="none"/>
              </w:rPr>
            </w:pPr>
            <w:r w:rsidRPr="001C65EE">
              <w:rPr>
                <w:rFonts w:eastAsia="Times New Roman"/>
                <w:iCs/>
                <w:color w:val="000000"/>
                <w:kern w:val="0"/>
                <w:sz w:val="20"/>
                <w:szCs w:val="20"/>
                <w14:ligatures w14:val="none"/>
              </w:rPr>
              <w:t>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2759110E" w14:textId="77777777" w:rsidR="00026BDF" w:rsidRPr="001C65EE" w:rsidRDefault="00026BDF" w:rsidP="0047119E">
            <w:pPr>
              <w:spacing w:after="0" w:afterAutospacing="0" w:line="240" w:lineRule="auto"/>
              <w:ind w:firstLine="0"/>
              <w:contextualSpacing/>
              <w:mirrorIndents/>
              <w:jc w:val="center"/>
              <w:rPr>
                <w:rFonts w:eastAsia="Times New Roman"/>
                <w:iCs/>
                <w:color w:val="000000"/>
                <w:kern w:val="0"/>
                <w:sz w:val="20"/>
                <w:szCs w:val="20"/>
                <w14:ligatures w14:val="none"/>
              </w:rPr>
            </w:pPr>
            <w:proofErr w:type="spellStart"/>
            <w:r w:rsidRPr="001C65EE">
              <w:rPr>
                <w:rFonts w:eastAsia="Times New Roman"/>
                <w:iCs/>
                <w:color w:val="000000"/>
                <w:kern w:val="0"/>
                <w:sz w:val="20"/>
                <w:szCs w:val="20"/>
                <w14:ligatures w14:val="none"/>
              </w:rPr>
              <w:t>df</w:t>
            </w:r>
            <w:proofErr w:type="spellEnd"/>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1EF0094D" w14:textId="77777777" w:rsidR="00026BDF" w:rsidRPr="001C65EE" w:rsidRDefault="00026BDF" w:rsidP="0047119E">
            <w:pPr>
              <w:spacing w:after="0" w:afterAutospacing="0" w:line="240" w:lineRule="auto"/>
              <w:ind w:firstLine="0"/>
              <w:contextualSpacing/>
              <w:mirrorIndents/>
              <w:jc w:val="center"/>
              <w:rPr>
                <w:rFonts w:eastAsia="Times New Roman"/>
                <w:iCs/>
                <w:color w:val="000000"/>
                <w:kern w:val="0"/>
                <w:sz w:val="20"/>
                <w:szCs w:val="20"/>
                <w14:ligatures w14:val="none"/>
              </w:rPr>
            </w:pPr>
            <w:r w:rsidRPr="001C65EE">
              <w:rPr>
                <w:rFonts w:eastAsia="Times New Roman"/>
                <w:iCs/>
                <w:color w:val="000000"/>
                <w:kern w:val="0"/>
                <w:sz w:val="20"/>
                <w:szCs w:val="20"/>
                <w14:ligatures w14:val="none"/>
              </w:rPr>
              <w:t>p</w:t>
            </w:r>
          </w:p>
        </w:tc>
      </w:tr>
      <w:tr w:rsidR="00026BDF" w:rsidRPr="001C65EE" w14:paraId="5532FC70" w14:textId="77777777" w:rsidTr="0047119E">
        <w:trPr>
          <w:trHeight w:val="270"/>
          <w:jc w:val="center"/>
        </w:trPr>
        <w:tc>
          <w:tcPr>
            <w:tcW w:w="1429" w:type="dxa"/>
            <w:tcBorders>
              <w:top w:val="nil"/>
              <w:left w:val="single" w:sz="4" w:space="0" w:color="auto"/>
              <w:bottom w:val="single" w:sz="4" w:space="0" w:color="auto"/>
              <w:right w:val="single" w:sz="4" w:space="0" w:color="auto"/>
            </w:tcBorders>
            <w:shd w:val="clear" w:color="auto" w:fill="auto"/>
            <w:vAlign w:val="center"/>
            <w:hideMark/>
          </w:tcPr>
          <w:p w14:paraId="43B1ABFA"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 xml:space="preserve">Pre-AVS score </w:t>
            </w:r>
            <w:r>
              <w:rPr>
                <w:rFonts w:eastAsia="Times New Roman"/>
                <w:color w:val="000000"/>
                <w:kern w:val="0"/>
                <w:sz w:val="20"/>
                <w:szCs w:val="20"/>
                <w14:ligatures w14:val="none"/>
              </w:rPr>
              <w:t>-</w:t>
            </w:r>
            <w:r w:rsidRPr="001C65EE">
              <w:rPr>
                <w:rFonts w:eastAsia="Times New Roman"/>
                <w:color w:val="000000"/>
                <w:kern w:val="0"/>
                <w:sz w:val="20"/>
                <w:szCs w:val="20"/>
                <w14:ligatures w14:val="none"/>
              </w:rPr>
              <w:t xml:space="preserve"> Post-AVS score</w:t>
            </w:r>
          </w:p>
        </w:tc>
        <w:tc>
          <w:tcPr>
            <w:tcW w:w="1257" w:type="dxa"/>
            <w:tcBorders>
              <w:top w:val="nil"/>
              <w:left w:val="nil"/>
              <w:bottom w:val="single" w:sz="4" w:space="0" w:color="auto"/>
              <w:right w:val="single" w:sz="4" w:space="0" w:color="auto"/>
            </w:tcBorders>
            <w:shd w:val="clear" w:color="auto" w:fill="auto"/>
            <w:vAlign w:val="center"/>
            <w:hideMark/>
          </w:tcPr>
          <w:p w14:paraId="121F6612"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-2.5</w:t>
            </w:r>
          </w:p>
        </w:tc>
        <w:tc>
          <w:tcPr>
            <w:tcW w:w="1357" w:type="dxa"/>
            <w:tcBorders>
              <w:top w:val="nil"/>
              <w:left w:val="nil"/>
              <w:bottom w:val="single" w:sz="4" w:space="0" w:color="auto"/>
              <w:right w:val="single" w:sz="4" w:space="0" w:color="auto"/>
            </w:tcBorders>
            <w:shd w:val="clear" w:color="auto" w:fill="auto"/>
            <w:vAlign w:val="center"/>
            <w:hideMark/>
          </w:tcPr>
          <w:p w14:paraId="599B889E"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2.38</w:t>
            </w:r>
          </w:p>
        </w:tc>
        <w:tc>
          <w:tcPr>
            <w:tcW w:w="1257" w:type="dxa"/>
            <w:tcBorders>
              <w:top w:val="nil"/>
              <w:left w:val="nil"/>
              <w:bottom w:val="single" w:sz="4" w:space="0" w:color="auto"/>
              <w:right w:val="single" w:sz="4" w:space="0" w:color="auto"/>
            </w:tcBorders>
            <w:shd w:val="clear" w:color="auto" w:fill="auto"/>
            <w:vAlign w:val="center"/>
            <w:hideMark/>
          </w:tcPr>
          <w:p w14:paraId="3ED50B9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-2.1</w:t>
            </w:r>
          </w:p>
        </w:tc>
        <w:tc>
          <w:tcPr>
            <w:tcW w:w="1163" w:type="dxa"/>
            <w:tcBorders>
              <w:top w:val="nil"/>
              <w:left w:val="nil"/>
              <w:bottom w:val="single" w:sz="4" w:space="0" w:color="auto"/>
              <w:right w:val="single" w:sz="4" w:space="0" w:color="auto"/>
            </w:tcBorders>
            <w:shd w:val="clear" w:color="auto" w:fill="auto"/>
            <w:vAlign w:val="center"/>
            <w:hideMark/>
          </w:tcPr>
          <w:p w14:paraId="0E2957F3"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3</w:t>
            </w:r>
          </w:p>
        </w:tc>
        <w:tc>
          <w:tcPr>
            <w:tcW w:w="1457" w:type="dxa"/>
            <w:tcBorders>
              <w:top w:val="nil"/>
              <w:left w:val="nil"/>
              <w:bottom w:val="single" w:sz="4" w:space="0" w:color="auto"/>
              <w:right w:val="single" w:sz="4" w:space="0" w:color="auto"/>
            </w:tcBorders>
            <w:shd w:val="clear" w:color="auto" w:fill="auto"/>
            <w:vAlign w:val="center"/>
            <w:hideMark/>
          </w:tcPr>
          <w:p w14:paraId="631FC770"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0.124</w:t>
            </w:r>
          </w:p>
        </w:tc>
      </w:tr>
      <w:tr w:rsidR="00026BDF" w:rsidRPr="001C65EE" w14:paraId="67A3071C" w14:textId="77777777" w:rsidTr="0047119E">
        <w:trPr>
          <w:trHeight w:val="165"/>
          <w:jc w:val="center"/>
        </w:trPr>
        <w:tc>
          <w:tcPr>
            <w:tcW w:w="79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B2BFB" w14:textId="77777777" w:rsidR="00026BDF" w:rsidRPr="001C65EE" w:rsidRDefault="00026BDF" w:rsidP="0047119E">
            <w:pPr>
              <w:spacing w:after="0" w:afterAutospacing="0" w:line="240" w:lineRule="auto"/>
              <w:ind w:firstLine="0"/>
              <w:contextualSpacing/>
              <w:mirrorIndents/>
              <w:jc w:val="center"/>
              <w:rPr>
                <w:rFonts w:eastAsia="Times New Roman"/>
                <w:color w:val="000000"/>
                <w:kern w:val="0"/>
                <w:sz w:val="20"/>
                <w:szCs w:val="20"/>
                <w14:ligatures w14:val="none"/>
              </w:rPr>
            </w:pPr>
            <w:r w:rsidRPr="001C65EE">
              <w:rPr>
                <w:rFonts w:eastAsia="Times New Roman"/>
                <w:color w:val="000000"/>
                <w:kern w:val="0"/>
                <w:sz w:val="20"/>
                <w:szCs w:val="20"/>
                <w14:ligatures w14:val="none"/>
              </w:rPr>
              <w:t xml:space="preserve">Note. Skewness = 0 and kurtosis = -4 for the difference in KAP-PAQ score. As suggested by </w:t>
            </w:r>
            <w:r w:rsidRPr="001C65EE">
              <w:rPr>
                <w:rFonts w:eastAsia="Times New Roman"/>
                <w:kern w:val="0"/>
                <w:sz w:val="20"/>
                <w:szCs w:val="20"/>
                <w14:ligatures w14:val="none"/>
              </w:rPr>
              <w:t>Kim, Mishra et al.</w:t>
            </w:r>
            <w:r w:rsidRPr="001C65EE">
              <w:rPr>
                <w:rFonts w:eastAsia="Times New Roman"/>
                <w:color w:val="FF0000"/>
                <w:kern w:val="0"/>
                <w:sz w:val="20"/>
                <w:szCs w:val="20"/>
                <w14:ligatures w14:val="none"/>
              </w:rPr>
              <w:t xml:space="preserve"> [1</w:t>
            </w:r>
            <w:r>
              <w:rPr>
                <w:rFonts w:eastAsia="Times New Roman"/>
                <w:color w:val="FF0000"/>
                <w:kern w:val="0"/>
                <w:sz w:val="20"/>
                <w:szCs w:val="20"/>
                <w14:ligatures w14:val="none"/>
              </w:rPr>
              <w:t>3</w:t>
            </w:r>
            <w:r w:rsidRPr="001C65EE">
              <w:rPr>
                <w:rFonts w:eastAsia="Times New Roman"/>
                <w:color w:val="FF0000"/>
                <w:kern w:val="0"/>
                <w:sz w:val="20"/>
                <w:szCs w:val="20"/>
                <w14:ligatures w14:val="none"/>
              </w:rPr>
              <w:t>]</w:t>
            </w:r>
            <w:r w:rsidRPr="001C65EE">
              <w:rPr>
                <w:rFonts w:eastAsia="Times New Roman"/>
                <w:color w:val="000000"/>
                <w:kern w:val="0"/>
                <w:sz w:val="20"/>
                <w:szCs w:val="20"/>
                <w14:ligatures w14:val="none"/>
              </w:rPr>
              <w:t xml:space="preserve">, an absolute skewness value </w:t>
            </w:r>
            <w:r w:rsidRPr="00AA42FD">
              <w:rPr>
                <w:rFonts w:eastAsia="Times New Roman"/>
                <w:color w:val="FF0000"/>
                <w:kern w:val="0"/>
                <w:sz w:val="20"/>
                <w:szCs w:val="20"/>
                <w14:ligatures w14:val="none"/>
              </w:rPr>
              <w:t>≤</w:t>
            </w:r>
            <w:r w:rsidRPr="001C65EE">
              <w:rPr>
                <w:rFonts w:eastAsia="Times New Roman"/>
                <w:color w:val="000000"/>
                <w:kern w:val="0"/>
                <w:sz w:val="20"/>
                <w:szCs w:val="20"/>
                <w14:ligatures w14:val="none"/>
              </w:rPr>
              <w:t xml:space="preserve"> 2 and an absolute kurtosis (excess) </w:t>
            </w:r>
            <w:r w:rsidRPr="007D75A4">
              <w:rPr>
                <w:rFonts w:eastAsia="Times New Roman"/>
                <w:color w:val="FF0000"/>
                <w:kern w:val="0"/>
                <w:sz w:val="20"/>
                <w:szCs w:val="20"/>
                <w14:ligatures w14:val="none"/>
              </w:rPr>
              <w:t>≤</w:t>
            </w:r>
            <w:r w:rsidRPr="001C65EE">
              <w:rPr>
                <w:rFonts w:eastAsia="Times New Roman"/>
                <w:color w:val="000000"/>
                <w:kern w:val="0"/>
                <w:sz w:val="20"/>
                <w:szCs w:val="20"/>
                <w14:ligatures w14:val="none"/>
              </w:rPr>
              <w:t xml:space="preserve"> 4 for the data </w:t>
            </w:r>
            <w:proofErr w:type="gramStart"/>
            <w:r w:rsidRPr="001C65EE">
              <w:rPr>
                <w:rFonts w:eastAsia="Times New Roman"/>
                <w:color w:val="000000"/>
                <w:kern w:val="0"/>
                <w:sz w:val="20"/>
                <w:szCs w:val="20"/>
                <w14:ligatures w14:val="none"/>
              </w:rPr>
              <w:t>may be used</w:t>
            </w:r>
            <w:proofErr w:type="gramEnd"/>
            <w:r w:rsidRPr="001C65EE">
              <w:rPr>
                <w:rFonts w:eastAsia="Times New Roman"/>
                <w:color w:val="000000"/>
                <w:kern w:val="0"/>
                <w:sz w:val="20"/>
                <w:szCs w:val="20"/>
                <w14:ligatures w14:val="none"/>
              </w:rPr>
              <w:t xml:space="preserve"> as reference values for determining considerable normality. Thus, it </w:t>
            </w:r>
            <w:proofErr w:type="gramStart"/>
            <w:r w:rsidRPr="001C65EE">
              <w:rPr>
                <w:rFonts w:eastAsia="Times New Roman"/>
                <w:color w:val="000000"/>
                <w:kern w:val="0"/>
                <w:sz w:val="20"/>
                <w:szCs w:val="20"/>
                <w14:ligatures w14:val="none"/>
              </w:rPr>
              <w:t>was concluded</w:t>
            </w:r>
            <w:proofErr w:type="gramEnd"/>
            <w:r w:rsidRPr="001C65EE">
              <w:rPr>
                <w:rFonts w:eastAsia="Times New Roman"/>
                <w:color w:val="000000"/>
                <w:kern w:val="0"/>
                <w:sz w:val="20"/>
                <w:szCs w:val="20"/>
                <w14:ligatures w14:val="none"/>
              </w:rPr>
              <w:t xml:space="preserve"> that the normality assumption for the paired t-test was satisfied.</w:t>
            </w:r>
          </w:p>
        </w:tc>
      </w:tr>
    </w:tbl>
    <w:p w14:paraId="7454AF96" w14:textId="77777777" w:rsidR="00026BDF" w:rsidRPr="001C65EE" w:rsidRDefault="00026BDF" w:rsidP="00026BDF">
      <w:pPr>
        <w:spacing w:after="0" w:afterAutospacing="0" w:line="240" w:lineRule="auto"/>
        <w:ind w:firstLine="0"/>
        <w:contextualSpacing/>
        <w:mirrorIndents/>
        <w:jc w:val="both"/>
        <w:rPr>
          <w:sz w:val="20"/>
          <w:szCs w:val="20"/>
        </w:rPr>
      </w:pPr>
    </w:p>
    <w:p w14:paraId="6FE0F557" w14:textId="77777777" w:rsidR="00026BDF" w:rsidRPr="001C65EE" w:rsidRDefault="00026BDF" w:rsidP="00026BDF">
      <w:pPr>
        <w:spacing w:after="0" w:afterAutospacing="0" w:line="240" w:lineRule="auto"/>
        <w:ind w:firstLine="0"/>
        <w:contextualSpacing/>
        <w:mirrorIndents/>
        <w:jc w:val="center"/>
        <w:rPr>
          <w:b/>
          <w:bCs/>
          <w:sz w:val="20"/>
          <w:szCs w:val="20"/>
        </w:rPr>
      </w:pPr>
      <w:r w:rsidRPr="001C65EE">
        <w:rPr>
          <w:b/>
          <w:bCs/>
          <w:sz w:val="20"/>
          <w:szCs w:val="20"/>
        </w:rPr>
        <w:t>Table 3:</w:t>
      </w:r>
      <w:r w:rsidRPr="001C65EE">
        <w:rPr>
          <w:sz w:val="20"/>
          <w:szCs w:val="20"/>
        </w:rPr>
        <w:t xml:space="preserve"> Results of Paired t-test</w:t>
      </w:r>
      <w:r>
        <w:rPr>
          <w:sz w:val="20"/>
          <w:szCs w:val="20"/>
        </w:rPr>
        <w:t>.</w:t>
      </w:r>
    </w:p>
    <w:p w14:paraId="3B81D2DE" w14:textId="51F3296D" w:rsidR="00F2527B" w:rsidRPr="001C65EE" w:rsidRDefault="00F2527B" w:rsidP="001C65EE">
      <w:pPr>
        <w:spacing w:after="0" w:afterAutospacing="0" w:line="240" w:lineRule="auto"/>
        <w:ind w:firstLine="0"/>
        <w:contextualSpacing/>
        <w:mirrorIndents/>
        <w:jc w:val="both"/>
        <w:rPr>
          <w:sz w:val="20"/>
          <w:szCs w:val="20"/>
        </w:rPr>
      </w:pPr>
    </w:p>
    <w:p w14:paraId="11E7B99D" w14:textId="55B0F40D" w:rsidR="00F2527B" w:rsidRDefault="00E473E9" w:rsidP="001C65EE">
      <w:pPr>
        <w:spacing w:after="0" w:afterAutospacing="0" w:line="240" w:lineRule="auto"/>
        <w:ind w:firstLine="0"/>
        <w:contextualSpacing/>
        <w:mirrorIndents/>
        <w:jc w:val="both"/>
        <w:rPr>
          <w:b/>
          <w:bCs/>
          <w:sz w:val="20"/>
          <w:szCs w:val="20"/>
        </w:rPr>
      </w:pPr>
      <w:r w:rsidRPr="009819F1">
        <w:rPr>
          <w:b/>
          <w:bCs/>
          <w:sz w:val="22"/>
          <w:szCs w:val="20"/>
        </w:rPr>
        <w:t>Conclusions and Implications</w:t>
      </w:r>
    </w:p>
    <w:p w14:paraId="008F834C" w14:textId="77777777" w:rsidR="00E473E9" w:rsidRPr="00E473E9" w:rsidRDefault="00E473E9" w:rsidP="001C65EE">
      <w:pPr>
        <w:spacing w:after="0" w:afterAutospacing="0" w:line="240" w:lineRule="auto"/>
        <w:ind w:firstLine="0"/>
        <w:contextualSpacing/>
        <w:mirrorIndents/>
        <w:jc w:val="both"/>
        <w:rPr>
          <w:sz w:val="20"/>
          <w:szCs w:val="20"/>
        </w:rPr>
      </w:pPr>
    </w:p>
    <w:p w14:paraId="4B8CAB39" w14:textId="0DF734C8" w:rsidR="00D94933" w:rsidRPr="001C65EE" w:rsidRDefault="00C872B7" w:rsidP="001C65EE">
      <w:pPr>
        <w:spacing w:after="0" w:afterAutospacing="0" w:line="240" w:lineRule="auto"/>
        <w:ind w:firstLine="0"/>
        <w:contextualSpacing/>
        <w:mirrorIndents/>
        <w:jc w:val="both"/>
        <w:rPr>
          <w:sz w:val="20"/>
          <w:szCs w:val="20"/>
        </w:rPr>
      </w:pPr>
      <w:r w:rsidRPr="001C65EE">
        <w:rPr>
          <w:sz w:val="20"/>
          <w:szCs w:val="20"/>
        </w:rPr>
        <w:t xml:space="preserve">The current number of individuals diagnosed with prediabetes </w:t>
      </w:r>
      <w:proofErr w:type="gramStart"/>
      <w:r w:rsidRPr="001C65EE">
        <w:rPr>
          <w:sz w:val="20"/>
          <w:szCs w:val="20"/>
        </w:rPr>
        <w:t>is projected</w:t>
      </w:r>
      <w:proofErr w:type="gramEnd"/>
      <w:r w:rsidRPr="001C65EE">
        <w:rPr>
          <w:sz w:val="20"/>
          <w:szCs w:val="20"/>
        </w:rPr>
        <w:t xml:space="preserve"> to rise. The cost and complications associated with untreated prediabetes are not only detrimental to one’s quality of life but also to health systems that are already overtaxed. Providing written materials</w:t>
      </w:r>
      <w:r w:rsidR="00D94933" w:rsidRPr="001C65EE">
        <w:rPr>
          <w:sz w:val="20"/>
          <w:szCs w:val="20"/>
        </w:rPr>
        <w:t xml:space="preserve"> is a </w:t>
      </w:r>
      <w:r w:rsidR="00FE1020" w:rsidRPr="001C65EE">
        <w:rPr>
          <w:sz w:val="20"/>
          <w:szCs w:val="20"/>
        </w:rPr>
        <w:t>cost-effective</w:t>
      </w:r>
      <w:r w:rsidR="00D94933" w:rsidRPr="001C65EE">
        <w:rPr>
          <w:sz w:val="20"/>
          <w:szCs w:val="20"/>
        </w:rPr>
        <w:t xml:space="preserve"> way to </w:t>
      </w:r>
      <w:r w:rsidRPr="001C65EE">
        <w:rPr>
          <w:sz w:val="20"/>
          <w:szCs w:val="20"/>
        </w:rPr>
        <w:t>assist patients with their understanding of the prediabetes disease process</w:t>
      </w:r>
      <w:r w:rsidR="00980C5C">
        <w:rPr>
          <w:sz w:val="20"/>
          <w:szCs w:val="20"/>
        </w:rPr>
        <w:t>.</w:t>
      </w:r>
      <w:r w:rsidR="00A32EAF" w:rsidRPr="001C65EE">
        <w:rPr>
          <w:sz w:val="20"/>
          <w:szCs w:val="20"/>
        </w:rPr>
        <w:t xml:space="preserve"> </w:t>
      </w:r>
      <w:r w:rsidR="00496D61" w:rsidRPr="00496D61">
        <w:rPr>
          <w:sz w:val="20"/>
          <w:szCs w:val="20"/>
        </w:rPr>
        <w:t xml:space="preserve">Utilizing an AVS containing </w:t>
      </w:r>
      <w:r w:rsidR="00A32EAF" w:rsidRPr="001C65EE">
        <w:rPr>
          <w:sz w:val="20"/>
          <w:szCs w:val="20"/>
        </w:rPr>
        <w:t>i</w:t>
      </w:r>
      <w:r w:rsidRPr="001C65EE">
        <w:rPr>
          <w:sz w:val="20"/>
          <w:szCs w:val="20"/>
        </w:rPr>
        <w:t xml:space="preserve">nstructions, guidelines, and resources </w:t>
      </w:r>
      <w:r w:rsidR="00FB2C7B">
        <w:rPr>
          <w:sz w:val="20"/>
          <w:szCs w:val="20"/>
        </w:rPr>
        <w:t>can</w:t>
      </w:r>
      <w:r w:rsidR="00A32EAF" w:rsidRPr="001C65EE">
        <w:rPr>
          <w:sz w:val="20"/>
          <w:szCs w:val="20"/>
        </w:rPr>
        <w:t xml:space="preserve"> facilitate </w:t>
      </w:r>
      <w:r w:rsidRPr="001C65EE">
        <w:rPr>
          <w:sz w:val="20"/>
          <w:szCs w:val="20"/>
        </w:rPr>
        <w:t>necessary lifestyle and behavior modifications</w:t>
      </w:r>
      <w:r w:rsidR="00D94933" w:rsidRPr="001C65EE">
        <w:rPr>
          <w:sz w:val="20"/>
          <w:szCs w:val="20"/>
        </w:rPr>
        <w:t>.</w:t>
      </w:r>
      <w:r w:rsidR="008334D1">
        <w:rPr>
          <w:sz w:val="20"/>
          <w:szCs w:val="20"/>
        </w:rPr>
        <w:t xml:space="preserve"> </w:t>
      </w:r>
    </w:p>
    <w:p w14:paraId="7FFAD6D0" w14:textId="77777777" w:rsidR="00F2527B" w:rsidRPr="001C65EE" w:rsidRDefault="00F2527B" w:rsidP="001C65EE">
      <w:pPr>
        <w:spacing w:after="0" w:afterAutospacing="0" w:line="240" w:lineRule="auto"/>
        <w:ind w:firstLine="0"/>
        <w:contextualSpacing/>
        <w:mirrorIndents/>
        <w:jc w:val="both"/>
        <w:rPr>
          <w:sz w:val="20"/>
          <w:szCs w:val="20"/>
        </w:rPr>
      </w:pPr>
    </w:p>
    <w:p w14:paraId="6562C18D" w14:textId="3DC42C06" w:rsidR="004A1187" w:rsidRDefault="00C872B7" w:rsidP="001C65EE">
      <w:pPr>
        <w:spacing w:after="0" w:afterAutospacing="0" w:line="240" w:lineRule="auto"/>
        <w:ind w:firstLine="0"/>
        <w:contextualSpacing/>
        <w:mirrorIndents/>
        <w:jc w:val="both"/>
        <w:rPr>
          <w:sz w:val="20"/>
          <w:szCs w:val="20"/>
        </w:rPr>
      </w:pPr>
      <w:r w:rsidRPr="001C65EE">
        <w:rPr>
          <w:sz w:val="20"/>
          <w:szCs w:val="20"/>
        </w:rPr>
        <w:t xml:space="preserve">Newly diagnosed </w:t>
      </w:r>
      <w:proofErr w:type="spellStart"/>
      <w:r w:rsidRPr="001C65EE">
        <w:rPr>
          <w:sz w:val="20"/>
          <w:szCs w:val="20"/>
        </w:rPr>
        <w:t>prediabetic</w:t>
      </w:r>
      <w:proofErr w:type="spellEnd"/>
      <w:r w:rsidRPr="001C65EE">
        <w:rPr>
          <w:sz w:val="20"/>
          <w:szCs w:val="20"/>
        </w:rPr>
        <w:t xml:space="preserve"> adults’ comprehension of the medical condition pre-and post-AVS integration </w:t>
      </w:r>
      <w:proofErr w:type="gramStart"/>
      <w:r w:rsidRPr="001C65EE">
        <w:rPr>
          <w:sz w:val="20"/>
          <w:szCs w:val="20"/>
        </w:rPr>
        <w:t>were compared</w:t>
      </w:r>
      <w:proofErr w:type="gramEnd"/>
      <w:r w:rsidRPr="001C65EE">
        <w:rPr>
          <w:sz w:val="20"/>
          <w:szCs w:val="20"/>
        </w:rPr>
        <w:t xml:space="preserve"> in this project</w:t>
      </w:r>
      <w:r w:rsidR="00A32EAF" w:rsidRPr="001C65EE">
        <w:rPr>
          <w:sz w:val="20"/>
          <w:szCs w:val="20"/>
        </w:rPr>
        <w:t xml:space="preserve">. The conclusion demonstrated that the AVS is one vehicle to increase the knowledge and comprehension for newly diagnosed </w:t>
      </w:r>
      <w:proofErr w:type="spellStart"/>
      <w:r w:rsidR="00A32EAF" w:rsidRPr="001C65EE">
        <w:rPr>
          <w:sz w:val="20"/>
          <w:szCs w:val="20"/>
        </w:rPr>
        <w:t>prediabetics</w:t>
      </w:r>
      <w:proofErr w:type="spellEnd"/>
      <w:r w:rsidR="00A32EAF" w:rsidRPr="001C65EE">
        <w:rPr>
          <w:sz w:val="20"/>
          <w:szCs w:val="20"/>
        </w:rPr>
        <w:t xml:space="preserve">. </w:t>
      </w:r>
      <w:r w:rsidR="003F0B47" w:rsidRPr="001C65EE">
        <w:rPr>
          <w:sz w:val="20"/>
          <w:szCs w:val="20"/>
        </w:rPr>
        <w:t xml:space="preserve">As this study </w:t>
      </w:r>
      <w:proofErr w:type="gramStart"/>
      <w:r w:rsidR="003F0B47" w:rsidRPr="001C65EE">
        <w:rPr>
          <w:sz w:val="20"/>
          <w:szCs w:val="20"/>
        </w:rPr>
        <w:t>was implemented</w:t>
      </w:r>
      <w:proofErr w:type="gramEnd"/>
      <w:r w:rsidR="003F0B47" w:rsidRPr="001C65EE">
        <w:rPr>
          <w:sz w:val="20"/>
          <w:szCs w:val="20"/>
        </w:rPr>
        <w:t xml:space="preserve"> with a small sample size, and all participants had college level education, reproducing this study with a </w:t>
      </w:r>
      <w:r w:rsidR="00E07140">
        <w:rPr>
          <w:sz w:val="20"/>
          <w:szCs w:val="20"/>
        </w:rPr>
        <w:t xml:space="preserve">larger </w:t>
      </w:r>
      <w:r w:rsidR="003F0B47" w:rsidRPr="001C65EE">
        <w:rPr>
          <w:sz w:val="20"/>
          <w:szCs w:val="20"/>
        </w:rPr>
        <w:t xml:space="preserve">more diverse sample population is indicated before </w:t>
      </w:r>
      <w:r w:rsidR="000629C6">
        <w:rPr>
          <w:sz w:val="20"/>
          <w:szCs w:val="20"/>
        </w:rPr>
        <w:t>the results can be generalized.</w:t>
      </w:r>
    </w:p>
    <w:p w14:paraId="0EA1E8BB" w14:textId="77777777" w:rsidR="000629C6" w:rsidRPr="001C65EE" w:rsidRDefault="000629C6" w:rsidP="001C65EE">
      <w:pPr>
        <w:spacing w:after="0" w:afterAutospacing="0" w:line="240" w:lineRule="auto"/>
        <w:ind w:firstLine="0"/>
        <w:contextualSpacing/>
        <w:mirrorIndents/>
        <w:jc w:val="both"/>
        <w:rPr>
          <w:sz w:val="20"/>
          <w:szCs w:val="20"/>
        </w:rPr>
      </w:pPr>
    </w:p>
    <w:p w14:paraId="22929A44" w14:textId="08FD36B6" w:rsidR="00AD2E9E" w:rsidRDefault="00C44C5C" w:rsidP="003A6484">
      <w:pPr>
        <w:spacing w:after="0" w:afterAutospacing="0" w:line="240" w:lineRule="auto"/>
        <w:ind w:firstLine="0"/>
        <w:contextualSpacing/>
        <w:mirrorIndents/>
        <w:jc w:val="center"/>
        <w:rPr>
          <w:b/>
          <w:bCs/>
          <w:sz w:val="20"/>
          <w:szCs w:val="20"/>
        </w:rPr>
      </w:pPr>
      <w:r w:rsidRPr="001C65EE">
        <w:rPr>
          <w:b/>
          <w:bCs/>
          <w:sz w:val="20"/>
          <w:szCs w:val="20"/>
        </w:rPr>
        <w:t>References</w:t>
      </w:r>
    </w:p>
    <w:p w14:paraId="75289C3C" w14:textId="77777777" w:rsidR="00553EC9" w:rsidRPr="00553EC9" w:rsidRDefault="00553EC9" w:rsidP="001C65EE">
      <w:pPr>
        <w:spacing w:after="0" w:afterAutospacing="0" w:line="240" w:lineRule="auto"/>
        <w:ind w:firstLine="0"/>
        <w:contextualSpacing/>
        <w:mirrorIndents/>
        <w:jc w:val="both"/>
        <w:rPr>
          <w:bCs/>
          <w:sz w:val="20"/>
          <w:szCs w:val="20"/>
        </w:rPr>
      </w:pPr>
    </w:p>
    <w:p w14:paraId="3486A149" w14:textId="2E7F0D34" w:rsidR="00AD2E9E" w:rsidRPr="00E16745" w:rsidRDefault="00E23CEE" w:rsidP="00E16745">
      <w:pPr>
        <w:pStyle w:val="ListParagraph"/>
        <w:numPr>
          <w:ilvl w:val="0"/>
          <w:numId w:val="2"/>
        </w:numPr>
        <w:spacing w:after="0" w:afterAutospacing="0" w:line="240" w:lineRule="auto"/>
        <w:mirrorIndents/>
        <w:jc w:val="both"/>
        <w:rPr>
          <w:sz w:val="20"/>
          <w:szCs w:val="20"/>
        </w:rPr>
      </w:pPr>
      <w:hyperlink r:id="rId7" w:history="1">
        <w:proofErr w:type="spellStart"/>
        <w:proofErr w:type="gramStart"/>
        <w:r w:rsidR="00C15D0D">
          <w:rPr>
            <w:rStyle w:val="Hyperlink"/>
            <w:sz w:val="20"/>
            <w:szCs w:val="20"/>
            <w:u w:val="none"/>
          </w:rPr>
          <w:t>Echouffo-Tcheugui</w:t>
        </w:r>
        <w:proofErr w:type="spellEnd"/>
        <w:r w:rsidR="00C15D0D">
          <w:rPr>
            <w:rStyle w:val="Hyperlink"/>
            <w:sz w:val="20"/>
            <w:szCs w:val="20"/>
            <w:u w:val="none"/>
          </w:rPr>
          <w:t xml:space="preserve"> JB, </w:t>
        </w:r>
        <w:r w:rsidR="00AD2E9E" w:rsidRPr="00E16745">
          <w:rPr>
            <w:rStyle w:val="Hyperlink"/>
            <w:sz w:val="20"/>
            <w:szCs w:val="20"/>
            <w:u w:val="none"/>
          </w:rPr>
          <w:t>Selvin E (2021)</w:t>
        </w:r>
        <w:r w:rsidR="006C177D">
          <w:rPr>
            <w:rStyle w:val="Hyperlink"/>
            <w:sz w:val="20"/>
            <w:szCs w:val="20"/>
            <w:u w:val="none"/>
          </w:rPr>
          <w:t xml:space="preserve"> Prediabetes and what it means: </w:t>
        </w:r>
        <w:r w:rsidR="00AD2E9E" w:rsidRPr="00E16745">
          <w:rPr>
            <w:rStyle w:val="Hyperlink"/>
            <w:sz w:val="20"/>
            <w:szCs w:val="20"/>
            <w:u w:val="none"/>
          </w:rPr>
          <w:t>The epidemiological evidence.</w:t>
        </w:r>
        <w:proofErr w:type="gramEnd"/>
        <w:r w:rsidR="00AD2E9E" w:rsidRPr="00E16745">
          <w:rPr>
            <w:rStyle w:val="Hyperlink"/>
            <w:sz w:val="20"/>
            <w:szCs w:val="20"/>
            <w:u w:val="none"/>
          </w:rPr>
          <w:t xml:space="preserve"> </w:t>
        </w:r>
        <w:r w:rsidR="00AD2E9E" w:rsidRPr="00E16745">
          <w:rPr>
            <w:rStyle w:val="Hyperlink"/>
            <w:iCs/>
            <w:sz w:val="20"/>
            <w:szCs w:val="20"/>
            <w:u w:val="none"/>
          </w:rPr>
          <w:t>Annual Review of Public Health 42:</w:t>
        </w:r>
        <w:r w:rsidR="00AD2E9E" w:rsidRPr="00E16745">
          <w:rPr>
            <w:rStyle w:val="Hyperlink"/>
            <w:sz w:val="20"/>
            <w:szCs w:val="20"/>
            <w:u w:val="none"/>
          </w:rPr>
          <w:t xml:space="preserve"> 59-77.</w:t>
        </w:r>
      </w:hyperlink>
      <w:r w:rsidR="00AD2E9E" w:rsidRPr="00E16745">
        <w:rPr>
          <w:sz w:val="20"/>
          <w:szCs w:val="20"/>
        </w:rPr>
        <w:t xml:space="preserve"> </w:t>
      </w:r>
    </w:p>
    <w:p w14:paraId="1BED3554" w14:textId="77777777" w:rsidR="00A43CF4" w:rsidRPr="00E16745" w:rsidRDefault="00E23CEE" w:rsidP="00E16745">
      <w:pPr>
        <w:pStyle w:val="ListParagraph"/>
        <w:numPr>
          <w:ilvl w:val="0"/>
          <w:numId w:val="2"/>
        </w:numPr>
        <w:spacing w:after="0" w:afterAutospacing="0" w:line="240" w:lineRule="auto"/>
        <w:mirrorIndents/>
        <w:jc w:val="both"/>
        <w:rPr>
          <w:sz w:val="20"/>
          <w:szCs w:val="20"/>
        </w:rPr>
      </w:pPr>
      <w:hyperlink r:id="rId8" w:history="1">
        <w:proofErr w:type="spellStart"/>
        <w:r w:rsidR="00A43CF4" w:rsidRPr="00E16745">
          <w:rPr>
            <w:rStyle w:val="Hyperlink"/>
            <w:sz w:val="20"/>
            <w:szCs w:val="20"/>
            <w:u w:val="none"/>
          </w:rPr>
          <w:t>Chaitin</w:t>
        </w:r>
        <w:proofErr w:type="spellEnd"/>
        <w:r w:rsidR="00A43CF4" w:rsidRPr="00E16745">
          <w:rPr>
            <w:rStyle w:val="Hyperlink"/>
            <w:sz w:val="20"/>
            <w:szCs w:val="20"/>
            <w:u w:val="none"/>
          </w:rPr>
          <w:t xml:space="preserve"> C, Velasquez J, </w:t>
        </w:r>
        <w:proofErr w:type="spellStart"/>
        <w:r w:rsidR="00A43CF4" w:rsidRPr="00E16745">
          <w:rPr>
            <w:rStyle w:val="Hyperlink"/>
            <w:sz w:val="20"/>
            <w:szCs w:val="20"/>
            <w:u w:val="none"/>
          </w:rPr>
          <w:t>Khanfar</w:t>
        </w:r>
        <w:proofErr w:type="spellEnd"/>
        <w:r w:rsidR="00A43CF4" w:rsidRPr="00E16745">
          <w:rPr>
            <w:rStyle w:val="Hyperlink"/>
            <w:sz w:val="20"/>
            <w:szCs w:val="20"/>
            <w:u w:val="none"/>
          </w:rPr>
          <w:t xml:space="preserve"> NM, et al (2018) Third-year pharmacy students propose an </w:t>
        </w:r>
        <w:proofErr w:type="spellStart"/>
        <w:r w:rsidR="00A43CF4" w:rsidRPr="00E16745">
          <w:rPr>
            <w:rStyle w:val="Hyperlink"/>
            <w:sz w:val="20"/>
            <w:szCs w:val="20"/>
            <w:u w:val="none"/>
          </w:rPr>
          <w:t>interprofessional</w:t>
        </w:r>
        <w:proofErr w:type="spellEnd"/>
        <w:r w:rsidR="00A43CF4" w:rsidRPr="00E16745">
          <w:rPr>
            <w:rStyle w:val="Hyperlink"/>
            <w:sz w:val="20"/>
            <w:szCs w:val="20"/>
            <w:u w:val="none"/>
          </w:rPr>
          <w:t xml:space="preserve"> prediabetes educational </w:t>
        </w:r>
        <w:proofErr w:type="gramStart"/>
        <w:r w:rsidR="00A43CF4" w:rsidRPr="00E16745">
          <w:rPr>
            <w:rStyle w:val="Hyperlink"/>
            <w:sz w:val="20"/>
            <w:szCs w:val="20"/>
            <w:u w:val="none"/>
          </w:rPr>
          <w:t>program:</w:t>
        </w:r>
        <w:proofErr w:type="gramEnd"/>
        <w:r w:rsidR="00A43CF4" w:rsidRPr="00E16745">
          <w:rPr>
            <w:rStyle w:val="Hyperlink"/>
            <w:sz w:val="20"/>
            <w:szCs w:val="20"/>
            <w:u w:val="none"/>
          </w:rPr>
          <w:t xml:space="preserve"> </w:t>
        </w:r>
        <w:proofErr w:type="spellStart"/>
        <w:r w:rsidR="00A43CF4" w:rsidRPr="00E16745">
          <w:rPr>
            <w:rStyle w:val="Hyperlink"/>
            <w:sz w:val="20"/>
            <w:szCs w:val="20"/>
            <w:u w:val="none"/>
          </w:rPr>
          <w:t>PreDiaMe</w:t>
        </w:r>
        <w:proofErr w:type="spellEnd"/>
        <w:r w:rsidR="00A43CF4" w:rsidRPr="00E16745">
          <w:rPr>
            <w:rStyle w:val="Hyperlink"/>
            <w:sz w:val="20"/>
            <w:szCs w:val="20"/>
            <w:u w:val="none"/>
          </w:rPr>
          <w:t xml:space="preserve"> (Prediabetes + Me). </w:t>
        </w:r>
        <w:r w:rsidR="00A43CF4" w:rsidRPr="00E16745">
          <w:rPr>
            <w:rStyle w:val="Hyperlink"/>
            <w:iCs/>
            <w:sz w:val="20"/>
            <w:szCs w:val="20"/>
            <w:u w:val="none"/>
          </w:rPr>
          <w:t xml:space="preserve">Journal of </w:t>
        </w:r>
        <w:proofErr w:type="spellStart"/>
        <w:r w:rsidR="00A43CF4" w:rsidRPr="00E16745">
          <w:rPr>
            <w:rStyle w:val="Hyperlink"/>
            <w:iCs/>
            <w:sz w:val="20"/>
            <w:szCs w:val="20"/>
            <w:u w:val="none"/>
          </w:rPr>
          <w:t>Interprofessional</w:t>
        </w:r>
        <w:proofErr w:type="spellEnd"/>
        <w:r w:rsidR="00A43CF4" w:rsidRPr="00E16745">
          <w:rPr>
            <w:rStyle w:val="Hyperlink"/>
            <w:iCs/>
            <w:sz w:val="20"/>
            <w:szCs w:val="20"/>
            <w:u w:val="none"/>
          </w:rPr>
          <w:t xml:space="preserve"> Care 32</w:t>
        </w:r>
        <w:r w:rsidR="00A43CF4" w:rsidRPr="00E16745">
          <w:rPr>
            <w:rStyle w:val="Hyperlink"/>
            <w:sz w:val="20"/>
            <w:szCs w:val="20"/>
            <w:u w:val="none"/>
          </w:rPr>
          <w:t>: 118-122.</w:t>
        </w:r>
      </w:hyperlink>
      <w:r w:rsidR="00A43CF4" w:rsidRPr="00E16745">
        <w:rPr>
          <w:sz w:val="20"/>
          <w:szCs w:val="20"/>
        </w:rPr>
        <w:t xml:space="preserve"> </w:t>
      </w:r>
    </w:p>
    <w:p w14:paraId="760CBFE3" w14:textId="77777777" w:rsidR="008A7DDF" w:rsidRPr="00E16745" w:rsidRDefault="00E23CEE" w:rsidP="00E16745">
      <w:pPr>
        <w:pStyle w:val="ListParagraph"/>
        <w:numPr>
          <w:ilvl w:val="0"/>
          <w:numId w:val="2"/>
        </w:numPr>
        <w:spacing w:after="0" w:afterAutospacing="0" w:line="240" w:lineRule="auto"/>
        <w:mirrorIndents/>
        <w:jc w:val="both"/>
        <w:rPr>
          <w:sz w:val="20"/>
          <w:szCs w:val="20"/>
        </w:rPr>
      </w:pPr>
      <w:hyperlink r:id="rId9" w:history="1">
        <w:proofErr w:type="spellStart"/>
        <w:r w:rsidR="008A7DDF" w:rsidRPr="00E16745">
          <w:rPr>
            <w:rStyle w:val="Hyperlink"/>
            <w:sz w:val="20"/>
            <w:szCs w:val="20"/>
            <w:u w:val="none"/>
            <w:shd w:val="clear" w:color="auto" w:fill="FFFFFF"/>
          </w:rPr>
          <w:t>VenHuizen</w:t>
        </w:r>
        <w:proofErr w:type="spellEnd"/>
        <w:r w:rsidR="008A7DDF" w:rsidRPr="00E16745">
          <w:rPr>
            <w:rStyle w:val="Hyperlink"/>
            <w:sz w:val="20"/>
            <w:szCs w:val="20"/>
            <w:u w:val="none"/>
            <w:shd w:val="clear" w:color="auto" w:fill="FFFFFF"/>
          </w:rPr>
          <w:t xml:space="preserve"> D (2019) Prediabetes: Diagnostic criteria and health risks. </w:t>
        </w:r>
        <w:proofErr w:type="gramStart"/>
        <w:r w:rsidR="008A7DDF" w:rsidRPr="00E16745">
          <w:rPr>
            <w:rStyle w:val="Hyperlink"/>
            <w:iCs/>
            <w:sz w:val="20"/>
            <w:szCs w:val="20"/>
            <w:u w:val="none"/>
            <w:shd w:val="clear" w:color="auto" w:fill="FFFFFF"/>
          </w:rPr>
          <w:t>Today’s</w:t>
        </w:r>
        <w:proofErr w:type="gramEnd"/>
        <w:r w:rsidR="008A7DDF" w:rsidRPr="00E16745">
          <w:rPr>
            <w:rStyle w:val="Hyperlink"/>
            <w:iCs/>
            <w:sz w:val="20"/>
            <w:szCs w:val="20"/>
            <w:u w:val="none"/>
            <w:shd w:val="clear" w:color="auto" w:fill="FFFFFF"/>
          </w:rPr>
          <w:t xml:space="preserve"> Dietician 21</w:t>
        </w:r>
        <w:r w:rsidR="008A7DDF" w:rsidRPr="00E16745">
          <w:rPr>
            <w:rStyle w:val="Hyperlink"/>
            <w:sz w:val="20"/>
            <w:szCs w:val="20"/>
            <w:u w:val="none"/>
            <w:shd w:val="clear" w:color="auto" w:fill="FFFFFF"/>
          </w:rPr>
          <w:t>: 44-48.</w:t>
        </w:r>
      </w:hyperlink>
    </w:p>
    <w:p w14:paraId="45D94875" w14:textId="77777777" w:rsidR="009006AF" w:rsidRPr="00E16745" w:rsidRDefault="00E23CEE" w:rsidP="00E16745">
      <w:pPr>
        <w:pStyle w:val="ListParagraph"/>
        <w:numPr>
          <w:ilvl w:val="0"/>
          <w:numId w:val="2"/>
        </w:numPr>
        <w:spacing w:after="0" w:afterAutospacing="0" w:line="240" w:lineRule="auto"/>
        <w:mirrorIndents/>
        <w:jc w:val="both"/>
        <w:rPr>
          <w:sz w:val="20"/>
          <w:szCs w:val="20"/>
        </w:rPr>
      </w:pPr>
      <w:hyperlink r:id="rId10" w:history="1">
        <w:proofErr w:type="spellStart"/>
        <w:r w:rsidR="009006AF" w:rsidRPr="00E16745">
          <w:rPr>
            <w:rStyle w:val="Hyperlink"/>
            <w:sz w:val="20"/>
            <w:szCs w:val="20"/>
            <w:u w:val="none"/>
          </w:rPr>
          <w:t>Liebman</w:t>
        </w:r>
        <w:proofErr w:type="spellEnd"/>
        <w:r w:rsidR="009006AF" w:rsidRPr="00E16745">
          <w:rPr>
            <w:rStyle w:val="Hyperlink"/>
            <w:sz w:val="20"/>
            <w:szCs w:val="20"/>
            <w:u w:val="none"/>
          </w:rPr>
          <w:t xml:space="preserve"> B (2022) 1 in 2 U.S. adults have diabetes or prediabetes. </w:t>
        </w:r>
        <w:r w:rsidR="009006AF" w:rsidRPr="00E16745">
          <w:rPr>
            <w:rStyle w:val="Hyperlink"/>
            <w:iCs/>
            <w:sz w:val="20"/>
            <w:szCs w:val="20"/>
            <w:u w:val="none"/>
          </w:rPr>
          <w:t>Nutrition Action Health Letter 49</w:t>
        </w:r>
        <w:r w:rsidR="009006AF" w:rsidRPr="00E16745">
          <w:rPr>
            <w:rStyle w:val="Hyperlink"/>
            <w:sz w:val="20"/>
            <w:szCs w:val="20"/>
            <w:u w:val="none"/>
          </w:rPr>
          <w:t>: 3-6.</w:t>
        </w:r>
      </w:hyperlink>
    </w:p>
    <w:p w14:paraId="55B99D04" w14:textId="77777777" w:rsidR="0014619E" w:rsidRPr="00E16745" w:rsidRDefault="00E23CEE" w:rsidP="00E16745">
      <w:pPr>
        <w:pStyle w:val="ListParagraph"/>
        <w:numPr>
          <w:ilvl w:val="0"/>
          <w:numId w:val="2"/>
        </w:numPr>
        <w:spacing w:after="0" w:afterAutospacing="0" w:line="240" w:lineRule="auto"/>
        <w:mirrorIndents/>
        <w:jc w:val="both"/>
        <w:rPr>
          <w:sz w:val="20"/>
          <w:szCs w:val="20"/>
          <w:shd w:val="clear" w:color="auto" w:fill="FFFFFF"/>
        </w:rPr>
      </w:pPr>
      <w:hyperlink r:id="rId11" w:history="1">
        <w:r w:rsidR="0014619E" w:rsidRPr="00E16745">
          <w:rPr>
            <w:rStyle w:val="Hyperlink"/>
            <w:sz w:val="20"/>
            <w:szCs w:val="20"/>
            <w:u w:val="none"/>
            <w:shd w:val="clear" w:color="auto" w:fill="FFFFFF"/>
          </w:rPr>
          <w:t xml:space="preserve">Phillips A (2014) Pre-diabetes and capturing opportunities to raise awareness. </w:t>
        </w:r>
        <w:r w:rsidR="0014619E" w:rsidRPr="00E16745">
          <w:rPr>
            <w:rStyle w:val="Hyperlink"/>
            <w:iCs/>
            <w:sz w:val="20"/>
            <w:szCs w:val="20"/>
            <w:u w:val="none"/>
            <w:shd w:val="clear" w:color="auto" w:fill="FFFFFF"/>
          </w:rPr>
          <w:t>British Journal of Nursing 23</w:t>
        </w:r>
        <w:r w:rsidR="0014619E" w:rsidRPr="00E16745">
          <w:rPr>
            <w:rStyle w:val="Hyperlink"/>
            <w:sz w:val="20"/>
            <w:szCs w:val="20"/>
            <w:u w:val="none"/>
            <w:shd w:val="clear" w:color="auto" w:fill="FFFFFF"/>
          </w:rPr>
          <w:t>: 505-508.</w:t>
        </w:r>
      </w:hyperlink>
      <w:r w:rsidR="0014619E" w:rsidRPr="00E16745">
        <w:rPr>
          <w:sz w:val="20"/>
          <w:szCs w:val="20"/>
          <w:shd w:val="clear" w:color="auto" w:fill="FFFFFF"/>
        </w:rPr>
        <w:t xml:space="preserve"> </w:t>
      </w:r>
    </w:p>
    <w:p w14:paraId="22786DC3" w14:textId="77777777" w:rsidR="00F517DA" w:rsidRPr="00E16745" w:rsidRDefault="00E23CEE" w:rsidP="00E16745">
      <w:pPr>
        <w:pStyle w:val="ListParagraph"/>
        <w:numPr>
          <w:ilvl w:val="0"/>
          <w:numId w:val="2"/>
        </w:numPr>
        <w:spacing w:after="0" w:afterAutospacing="0" w:line="240" w:lineRule="auto"/>
        <w:mirrorIndents/>
        <w:jc w:val="both"/>
        <w:rPr>
          <w:sz w:val="20"/>
          <w:szCs w:val="20"/>
          <w:shd w:val="clear" w:color="auto" w:fill="FFFFFF"/>
        </w:rPr>
      </w:pPr>
      <w:hyperlink r:id="rId12" w:history="1">
        <w:r w:rsidR="00F517DA" w:rsidRPr="00E16745">
          <w:rPr>
            <w:rStyle w:val="Hyperlink"/>
            <w:sz w:val="20"/>
            <w:szCs w:val="20"/>
            <w:u w:val="none"/>
            <w:shd w:val="clear" w:color="auto" w:fill="FFFFFF"/>
          </w:rPr>
          <w:t xml:space="preserve">Neuberger M, </w:t>
        </w:r>
        <w:proofErr w:type="spellStart"/>
        <w:r w:rsidR="00F517DA" w:rsidRPr="00E16745">
          <w:rPr>
            <w:rStyle w:val="Hyperlink"/>
            <w:sz w:val="20"/>
            <w:szCs w:val="20"/>
            <w:u w:val="none"/>
            <w:shd w:val="clear" w:color="auto" w:fill="FFFFFF"/>
          </w:rPr>
          <w:t>Dontje</w:t>
        </w:r>
        <w:proofErr w:type="spellEnd"/>
        <w:r w:rsidR="00F517DA" w:rsidRPr="00E16745">
          <w:rPr>
            <w:rStyle w:val="Hyperlink"/>
            <w:sz w:val="20"/>
            <w:szCs w:val="20"/>
            <w:u w:val="none"/>
            <w:shd w:val="clear" w:color="auto" w:fill="FFFFFF"/>
          </w:rPr>
          <w:t xml:space="preserve"> K, </w:t>
        </w:r>
        <w:proofErr w:type="spellStart"/>
        <w:r w:rsidR="00F517DA" w:rsidRPr="00E16745">
          <w:rPr>
            <w:rStyle w:val="Hyperlink"/>
            <w:sz w:val="20"/>
            <w:szCs w:val="20"/>
            <w:u w:val="none"/>
            <w:shd w:val="clear" w:color="auto" w:fill="FFFFFF"/>
          </w:rPr>
          <w:t>Holzman</w:t>
        </w:r>
        <w:proofErr w:type="spellEnd"/>
        <w:r w:rsidR="00F517DA" w:rsidRPr="00E16745">
          <w:rPr>
            <w:rStyle w:val="Hyperlink"/>
            <w:sz w:val="20"/>
            <w:szCs w:val="20"/>
            <w:u w:val="none"/>
            <w:shd w:val="clear" w:color="auto" w:fill="FFFFFF"/>
          </w:rPr>
          <w:t xml:space="preserve"> G, et al. (2014) Examination of office visit patient preferences for the after-visit summary (AVS). </w:t>
        </w:r>
        <w:r w:rsidR="00F517DA" w:rsidRPr="00E16745">
          <w:rPr>
            <w:rStyle w:val="Hyperlink"/>
            <w:iCs/>
            <w:sz w:val="20"/>
            <w:szCs w:val="20"/>
            <w:u w:val="none"/>
            <w:shd w:val="clear" w:color="auto" w:fill="FFFFFF"/>
          </w:rPr>
          <w:t>Perspectives in Health Information Management 1</w:t>
        </w:r>
        <w:r w:rsidR="00F517DA" w:rsidRPr="00E16745">
          <w:rPr>
            <w:rStyle w:val="Hyperlink"/>
            <w:sz w:val="20"/>
            <w:szCs w:val="20"/>
            <w:u w:val="none"/>
            <w:shd w:val="clear" w:color="auto" w:fill="FFFFFF"/>
          </w:rPr>
          <w:t>: 1-8.</w:t>
        </w:r>
      </w:hyperlink>
      <w:r w:rsidR="00F517DA" w:rsidRPr="00E16745">
        <w:rPr>
          <w:sz w:val="20"/>
          <w:szCs w:val="20"/>
          <w:shd w:val="clear" w:color="auto" w:fill="FFFFFF"/>
        </w:rPr>
        <w:t xml:space="preserve"> </w:t>
      </w:r>
    </w:p>
    <w:p w14:paraId="6C2B0CFB" w14:textId="77777777" w:rsidR="000B32D7" w:rsidRPr="00E16745" w:rsidRDefault="00E23CEE" w:rsidP="00E16745">
      <w:pPr>
        <w:pStyle w:val="ListParagraph"/>
        <w:numPr>
          <w:ilvl w:val="0"/>
          <w:numId w:val="2"/>
        </w:numPr>
        <w:spacing w:after="0" w:afterAutospacing="0" w:line="240" w:lineRule="auto"/>
        <w:mirrorIndents/>
        <w:jc w:val="both"/>
        <w:rPr>
          <w:sz w:val="20"/>
          <w:szCs w:val="20"/>
        </w:rPr>
      </w:pPr>
      <w:hyperlink r:id="rId13" w:history="1">
        <w:proofErr w:type="spellStart"/>
        <w:r w:rsidR="000B32D7" w:rsidRPr="00E16745">
          <w:rPr>
            <w:rStyle w:val="Hyperlink"/>
            <w:sz w:val="20"/>
            <w:szCs w:val="20"/>
            <w:u w:val="none"/>
          </w:rPr>
          <w:t>Emani</w:t>
        </w:r>
        <w:proofErr w:type="spellEnd"/>
        <w:r w:rsidR="000B32D7" w:rsidRPr="00E16745">
          <w:rPr>
            <w:rStyle w:val="Hyperlink"/>
            <w:sz w:val="20"/>
            <w:szCs w:val="20"/>
            <w:u w:val="none"/>
          </w:rPr>
          <w:t xml:space="preserve"> S, Healey M, Ting DY, et al. (2016) Awareness and use of the after-visit summary through a patient portal: Evaluation of patient characteristics and an application of the Theory of Planned Behavior. </w:t>
        </w:r>
        <w:r w:rsidR="000B32D7" w:rsidRPr="00E16745">
          <w:rPr>
            <w:rStyle w:val="Hyperlink"/>
            <w:iCs/>
            <w:sz w:val="20"/>
            <w:szCs w:val="20"/>
            <w:u w:val="none"/>
          </w:rPr>
          <w:t>Journal of Medical Internet Research 18</w:t>
        </w:r>
        <w:r w:rsidR="000B32D7" w:rsidRPr="00E16745">
          <w:rPr>
            <w:rStyle w:val="Hyperlink"/>
            <w:sz w:val="20"/>
            <w:szCs w:val="20"/>
            <w:u w:val="none"/>
          </w:rPr>
          <w:t>: e77.</w:t>
        </w:r>
      </w:hyperlink>
      <w:r w:rsidR="000B32D7" w:rsidRPr="00E16745">
        <w:rPr>
          <w:sz w:val="20"/>
          <w:szCs w:val="20"/>
        </w:rPr>
        <w:t xml:space="preserve"> </w:t>
      </w:r>
    </w:p>
    <w:p w14:paraId="0714B5F3" w14:textId="5B56B612" w:rsidR="003E4852" w:rsidRDefault="00E23CEE" w:rsidP="00E16745">
      <w:pPr>
        <w:pStyle w:val="ListParagraph"/>
        <w:numPr>
          <w:ilvl w:val="0"/>
          <w:numId w:val="2"/>
        </w:numPr>
        <w:spacing w:after="0" w:afterAutospacing="0" w:line="240" w:lineRule="auto"/>
        <w:mirrorIndents/>
        <w:jc w:val="both"/>
        <w:rPr>
          <w:sz w:val="20"/>
          <w:szCs w:val="20"/>
        </w:rPr>
      </w:pPr>
      <w:hyperlink r:id="rId14" w:history="1">
        <w:r w:rsidR="003E4852" w:rsidRPr="00E16745">
          <w:rPr>
            <w:rStyle w:val="Hyperlink"/>
            <w:sz w:val="20"/>
            <w:szCs w:val="20"/>
            <w:u w:val="none"/>
          </w:rPr>
          <w:t xml:space="preserve">Laws MB, Lee Y, </w:t>
        </w:r>
        <w:proofErr w:type="spellStart"/>
        <w:r w:rsidR="003E4852" w:rsidRPr="00E16745">
          <w:rPr>
            <w:rStyle w:val="Hyperlink"/>
            <w:sz w:val="20"/>
            <w:szCs w:val="20"/>
            <w:u w:val="none"/>
          </w:rPr>
          <w:t>Taubin</w:t>
        </w:r>
        <w:proofErr w:type="spellEnd"/>
        <w:r w:rsidR="003E4852" w:rsidRPr="00E16745">
          <w:rPr>
            <w:rStyle w:val="Hyperlink"/>
            <w:sz w:val="20"/>
            <w:szCs w:val="20"/>
            <w:u w:val="none"/>
          </w:rPr>
          <w:t xml:space="preserve"> T, et al. (2018) Factors associated with patient recall of key information in ambulatory specialty care visits: Results from an innovative methodology. </w:t>
        </w:r>
        <w:proofErr w:type="spellStart"/>
        <w:r w:rsidR="003E4852" w:rsidRPr="00E16745">
          <w:rPr>
            <w:rStyle w:val="Hyperlink"/>
            <w:iCs/>
            <w:sz w:val="20"/>
            <w:szCs w:val="20"/>
            <w:u w:val="none"/>
          </w:rPr>
          <w:t>PLoS</w:t>
        </w:r>
        <w:proofErr w:type="spellEnd"/>
        <w:r w:rsidR="003E4852" w:rsidRPr="00E16745">
          <w:rPr>
            <w:rStyle w:val="Hyperlink"/>
            <w:iCs/>
            <w:sz w:val="20"/>
            <w:szCs w:val="20"/>
            <w:u w:val="none"/>
          </w:rPr>
          <w:t xml:space="preserve"> </w:t>
        </w:r>
        <w:proofErr w:type="gramStart"/>
        <w:r w:rsidR="003E4852" w:rsidRPr="00E16745">
          <w:rPr>
            <w:rStyle w:val="Hyperlink"/>
            <w:iCs/>
            <w:sz w:val="20"/>
            <w:szCs w:val="20"/>
            <w:u w:val="none"/>
          </w:rPr>
          <w:t>ONE</w:t>
        </w:r>
        <w:proofErr w:type="gramEnd"/>
        <w:r w:rsidR="003E4852" w:rsidRPr="00E16745">
          <w:rPr>
            <w:rStyle w:val="Hyperlink"/>
            <w:iCs/>
            <w:sz w:val="20"/>
            <w:szCs w:val="20"/>
            <w:u w:val="none"/>
          </w:rPr>
          <w:t xml:space="preserve"> 13</w:t>
        </w:r>
        <w:r w:rsidR="003E4852" w:rsidRPr="00E16745">
          <w:rPr>
            <w:rStyle w:val="Hyperlink"/>
            <w:sz w:val="20"/>
            <w:szCs w:val="20"/>
            <w:u w:val="none"/>
          </w:rPr>
          <w:t xml:space="preserve">: e0191940. </w:t>
        </w:r>
      </w:hyperlink>
      <w:r w:rsidR="003E4852" w:rsidRPr="00E16745">
        <w:rPr>
          <w:sz w:val="20"/>
          <w:szCs w:val="20"/>
        </w:rPr>
        <w:t xml:space="preserve"> </w:t>
      </w:r>
    </w:p>
    <w:p w14:paraId="2893AA15" w14:textId="689E72B5" w:rsidR="004B66DC" w:rsidRPr="0056135D" w:rsidRDefault="00E23CEE" w:rsidP="00AD7E39">
      <w:pPr>
        <w:pStyle w:val="ListParagraph"/>
        <w:numPr>
          <w:ilvl w:val="0"/>
          <w:numId w:val="2"/>
        </w:numPr>
        <w:spacing w:after="0" w:afterAutospacing="0" w:line="240" w:lineRule="auto"/>
        <w:mirrorIndents/>
        <w:jc w:val="both"/>
        <w:rPr>
          <w:sz w:val="20"/>
          <w:szCs w:val="20"/>
        </w:rPr>
      </w:pPr>
      <w:hyperlink r:id="rId15" w:history="1">
        <w:r w:rsidR="005825A6" w:rsidRPr="0056135D">
          <w:rPr>
            <w:rStyle w:val="Hyperlink"/>
            <w:sz w:val="20"/>
            <w:szCs w:val="20"/>
            <w:u w:val="none"/>
          </w:rPr>
          <w:t>American Diabetes Association's (2018)</w:t>
        </w:r>
        <w:r w:rsidR="00FB6756" w:rsidRPr="0056135D">
          <w:rPr>
            <w:rStyle w:val="Hyperlink"/>
            <w:sz w:val="20"/>
            <w:szCs w:val="20"/>
            <w:u w:val="none"/>
          </w:rPr>
          <w:t xml:space="preserve"> </w:t>
        </w:r>
        <w:r w:rsidR="00AD7E39" w:rsidRPr="0056135D">
          <w:rPr>
            <w:rStyle w:val="Hyperlink"/>
            <w:sz w:val="20"/>
            <w:szCs w:val="20"/>
            <w:u w:val="none"/>
          </w:rPr>
          <w:t>Standards of Medical Care in Diabetes—2018 Abridged for Primary Care Providers</w:t>
        </w:r>
        <w:r w:rsidR="002877B2" w:rsidRPr="0056135D">
          <w:rPr>
            <w:rStyle w:val="Hyperlink"/>
            <w:sz w:val="20"/>
            <w:szCs w:val="20"/>
            <w:u w:val="none"/>
          </w:rPr>
          <w:t>.</w:t>
        </w:r>
      </w:hyperlink>
    </w:p>
    <w:p w14:paraId="634D98A7" w14:textId="77777777" w:rsidR="00982A29" w:rsidRPr="00E16745" w:rsidRDefault="00E23CEE" w:rsidP="00E16745">
      <w:pPr>
        <w:pStyle w:val="ListParagraph"/>
        <w:numPr>
          <w:ilvl w:val="0"/>
          <w:numId w:val="2"/>
        </w:numPr>
        <w:spacing w:after="0" w:afterAutospacing="0" w:line="240" w:lineRule="auto"/>
        <w:mirrorIndents/>
        <w:jc w:val="both"/>
        <w:rPr>
          <w:sz w:val="20"/>
          <w:szCs w:val="20"/>
        </w:rPr>
      </w:pPr>
      <w:hyperlink r:id="rId16" w:history="1">
        <w:proofErr w:type="spellStart"/>
        <w:r w:rsidR="00982A29" w:rsidRPr="00E16745">
          <w:rPr>
            <w:rStyle w:val="Hyperlink"/>
            <w:sz w:val="20"/>
            <w:szCs w:val="20"/>
            <w:u w:val="none"/>
          </w:rPr>
          <w:t>Hyder</w:t>
        </w:r>
        <w:proofErr w:type="spellEnd"/>
        <w:r w:rsidR="00982A29" w:rsidRPr="00E16745">
          <w:rPr>
            <w:rStyle w:val="Hyperlink"/>
            <w:sz w:val="20"/>
            <w:szCs w:val="20"/>
            <w:u w:val="none"/>
          </w:rPr>
          <w:t xml:space="preserve"> KM, Mohan J, Varma V, et al. (2021) Impact of prediabetes education program on knowledge, attitude, and practice among </w:t>
        </w:r>
        <w:proofErr w:type="spellStart"/>
        <w:r w:rsidR="00982A29" w:rsidRPr="00E16745">
          <w:rPr>
            <w:rStyle w:val="Hyperlink"/>
            <w:sz w:val="20"/>
            <w:szCs w:val="20"/>
            <w:u w:val="none"/>
          </w:rPr>
          <w:t>prediabetic</w:t>
        </w:r>
        <w:proofErr w:type="spellEnd"/>
        <w:r w:rsidR="00982A29" w:rsidRPr="00E16745">
          <w:rPr>
            <w:rStyle w:val="Hyperlink"/>
            <w:sz w:val="20"/>
            <w:szCs w:val="20"/>
            <w:u w:val="none"/>
          </w:rPr>
          <w:t xml:space="preserve"> population of south India.</w:t>
        </w:r>
      </w:hyperlink>
      <w:r w:rsidR="00982A29" w:rsidRPr="00E16745">
        <w:rPr>
          <w:sz w:val="20"/>
          <w:szCs w:val="20"/>
        </w:rPr>
        <w:t xml:space="preserve"> </w:t>
      </w:r>
    </w:p>
    <w:p w14:paraId="681FE949" w14:textId="77777777" w:rsidR="00982A29" w:rsidRPr="00E16745" w:rsidRDefault="00E23CEE" w:rsidP="00E16745">
      <w:pPr>
        <w:pStyle w:val="ListParagraph"/>
        <w:numPr>
          <w:ilvl w:val="0"/>
          <w:numId w:val="2"/>
        </w:numPr>
        <w:spacing w:after="0" w:afterAutospacing="0" w:line="240" w:lineRule="auto"/>
        <w:mirrorIndents/>
        <w:jc w:val="both"/>
        <w:rPr>
          <w:sz w:val="20"/>
          <w:szCs w:val="20"/>
        </w:rPr>
      </w:pPr>
      <w:hyperlink r:id="rId17" w:history="1">
        <w:r w:rsidR="00982A29" w:rsidRPr="00E16745">
          <w:rPr>
            <w:rStyle w:val="Hyperlink"/>
            <w:sz w:val="20"/>
            <w:szCs w:val="20"/>
            <w:u w:val="none"/>
          </w:rPr>
          <w:t xml:space="preserve">Field </w:t>
        </w:r>
        <w:proofErr w:type="gramStart"/>
        <w:r w:rsidR="00982A29" w:rsidRPr="00E16745">
          <w:rPr>
            <w:rStyle w:val="Hyperlink"/>
            <w:sz w:val="20"/>
            <w:szCs w:val="20"/>
            <w:u w:val="none"/>
          </w:rPr>
          <w:t>A</w:t>
        </w:r>
        <w:proofErr w:type="gramEnd"/>
        <w:r w:rsidR="00982A29" w:rsidRPr="00E16745">
          <w:rPr>
            <w:rStyle w:val="Hyperlink"/>
            <w:sz w:val="20"/>
            <w:szCs w:val="20"/>
            <w:u w:val="none"/>
          </w:rPr>
          <w:t xml:space="preserve"> (2013) </w:t>
        </w:r>
        <w:r w:rsidR="00982A29" w:rsidRPr="00E16745">
          <w:rPr>
            <w:rStyle w:val="Hyperlink"/>
            <w:iCs/>
            <w:sz w:val="20"/>
            <w:szCs w:val="20"/>
            <w:u w:val="none"/>
          </w:rPr>
          <w:t>Discovering statistics using IBM SPSS statistics</w:t>
        </w:r>
        <w:r w:rsidR="00982A29" w:rsidRPr="00E16745">
          <w:rPr>
            <w:rStyle w:val="Hyperlink"/>
            <w:sz w:val="20"/>
            <w:szCs w:val="20"/>
            <w:u w:val="none"/>
          </w:rPr>
          <w:t>. Sage Publication Ltd.</w:t>
        </w:r>
      </w:hyperlink>
    </w:p>
    <w:p w14:paraId="0E8FAF99" w14:textId="77777777" w:rsidR="00F61C19" w:rsidRPr="00E16745" w:rsidRDefault="00E23CEE" w:rsidP="00E16745">
      <w:pPr>
        <w:pStyle w:val="ListParagraph"/>
        <w:numPr>
          <w:ilvl w:val="0"/>
          <w:numId w:val="2"/>
        </w:numPr>
        <w:spacing w:after="0" w:afterAutospacing="0" w:line="240" w:lineRule="auto"/>
        <w:mirrorIndents/>
        <w:jc w:val="both"/>
        <w:rPr>
          <w:sz w:val="20"/>
          <w:szCs w:val="20"/>
        </w:rPr>
      </w:pPr>
      <w:hyperlink r:id="rId18" w:history="1">
        <w:r w:rsidR="00F61C19" w:rsidRPr="00E16745">
          <w:rPr>
            <w:rStyle w:val="Hyperlink"/>
            <w:sz w:val="20"/>
            <w:szCs w:val="20"/>
            <w:u w:val="none"/>
          </w:rPr>
          <w:t>Kim HY (2013) Statistical notes for clinical researchers: Assessing normal distribution (2) using skewness and kurtosis. </w:t>
        </w:r>
        <w:r w:rsidR="00F61C19" w:rsidRPr="00E16745">
          <w:rPr>
            <w:rStyle w:val="Hyperlink"/>
            <w:iCs/>
            <w:sz w:val="20"/>
            <w:szCs w:val="20"/>
            <w:u w:val="none"/>
          </w:rPr>
          <w:t>Restorative Dentistry &amp; Endodontics</w:t>
        </w:r>
        <w:r w:rsidR="00F61C19" w:rsidRPr="00E16745">
          <w:rPr>
            <w:rStyle w:val="Hyperlink"/>
            <w:sz w:val="20"/>
            <w:szCs w:val="20"/>
            <w:u w:val="none"/>
          </w:rPr>
          <w:t> </w:t>
        </w:r>
        <w:r w:rsidR="00F61C19" w:rsidRPr="00E16745">
          <w:rPr>
            <w:rStyle w:val="Hyperlink"/>
            <w:iCs/>
            <w:sz w:val="20"/>
            <w:szCs w:val="20"/>
            <w:u w:val="none"/>
          </w:rPr>
          <w:t>38</w:t>
        </w:r>
        <w:r w:rsidR="00F61C19" w:rsidRPr="00E16745">
          <w:rPr>
            <w:rStyle w:val="Hyperlink"/>
            <w:sz w:val="20"/>
            <w:szCs w:val="20"/>
            <w:u w:val="none"/>
          </w:rPr>
          <w:t>: 52-54.</w:t>
        </w:r>
      </w:hyperlink>
      <w:r w:rsidR="00F61C19" w:rsidRPr="00E16745">
        <w:rPr>
          <w:sz w:val="20"/>
          <w:szCs w:val="20"/>
        </w:rPr>
        <w:t xml:space="preserve"> </w:t>
      </w:r>
    </w:p>
    <w:p w14:paraId="64DE82EF" w14:textId="53CB9815" w:rsidR="00D77354" w:rsidRPr="00E16745" w:rsidRDefault="00E23CEE" w:rsidP="00D24165">
      <w:pPr>
        <w:pStyle w:val="ListParagraph"/>
        <w:numPr>
          <w:ilvl w:val="0"/>
          <w:numId w:val="2"/>
        </w:numPr>
        <w:spacing w:after="0" w:afterAutospacing="0" w:line="240" w:lineRule="auto"/>
        <w:mirrorIndents/>
        <w:jc w:val="both"/>
        <w:rPr>
          <w:sz w:val="20"/>
          <w:szCs w:val="20"/>
        </w:rPr>
      </w:pPr>
      <w:hyperlink r:id="rId19" w:history="1">
        <w:r w:rsidR="00F61C19" w:rsidRPr="00F62CB2">
          <w:rPr>
            <w:rStyle w:val="Hyperlink"/>
            <w:sz w:val="20"/>
            <w:szCs w:val="20"/>
            <w:u w:val="none"/>
          </w:rPr>
          <w:t xml:space="preserve">Mishra P, Pandey C, Singh U, et al. (2019) Descriptive statistics and normality tests for statistical data. Annals of Cardiac </w:t>
        </w:r>
        <w:proofErr w:type="spellStart"/>
        <w:r w:rsidR="00F61C19" w:rsidRPr="00F62CB2">
          <w:rPr>
            <w:rStyle w:val="Hyperlink"/>
            <w:sz w:val="20"/>
            <w:szCs w:val="20"/>
            <w:u w:val="none"/>
          </w:rPr>
          <w:t>Anaesthesia</w:t>
        </w:r>
        <w:proofErr w:type="spellEnd"/>
        <w:r w:rsidR="00F61C19" w:rsidRPr="00F62CB2">
          <w:rPr>
            <w:rStyle w:val="Hyperlink"/>
            <w:sz w:val="20"/>
            <w:szCs w:val="20"/>
            <w:u w:val="none"/>
          </w:rPr>
          <w:t xml:space="preserve"> 22: 67-72.</w:t>
        </w:r>
      </w:hyperlink>
    </w:p>
    <w:sectPr w:rsidR="00D77354" w:rsidRPr="00E16745" w:rsidSect="009B7B06">
      <w:headerReference w:type="default" r:id="rId20"/>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FDE0" w14:textId="77777777" w:rsidR="00E23CEE" w:rsidRDefault="00E23CEE" w:rsidP="00FE1020">
      <w:pPr>
        <w:spacing w:after="0" w:line="240" w:lineRule="auto"/>
      </w:pPr>
      <w:r>
        <w:separator/>
      </w:r>
    </w:p>
  </w:endnote>
  <w:endnote w:type="continuationSeparator" w:id="0">
    <w:p w14:paraId="7BDFC33E" w14:textId="77777777" w:rsidR="00E23CEE" w:rsidRDefault="00E23CEE" w:rsidP="00FE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52E0" w14:textId="03B19CC3" w:rsidR="00FE1020" w:rsidRDefault="00FE1020" w:rsidP="007F619B">
    <w:pPr>
      <w:pStyle w:val="Footer"/>
      <w:ind w:firstLine="0"/>
    </w:pPr>
  </w:p>
  <w:p w14:paraId="357B8B13" w14:textId="77777777" w:rsidR="00FE1020" w:rsidRDefault="00FE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728D" w14:textId="77777777" w:rsidR="00E23CEE" w:rsidRDefault="00E23CEE" w:rsidP="00FE1020">
      <w:pPr>
        <w:spacing w:after="0" w:line="240" w:lineRule="auto"/>
      </w:pPr>
      <w:r>
        <w:separator/>
      </w:r>
    </w:p>
  </w:footnote>
  <w:footnote w:type="continuationSeparator" w:id="0">
    <w:p w14:paraId="79093739" w14:textId="77777777" w:rsidR="00E23CEE" w:rsidRDefault="00E23CEE" w:rsidP="00FE1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1205" w14:textId="77777777" w:rsidR="00CE74B2" w:rsidRPr="007443F2" w:rsidRDefault="00CE74B2" w:rsidP="007443F2">
    <w:pPr>
      <w:tabs>
        <w:tab w:val="left" w:pos="7426"/>
      </w:tabs>
      <w:spacing w:after="0" w:afterAutospacing="0" w:line="240" w:lineRule="auto"/>
      <w:ind w:firstLine="0"/>
      <w:contextualSpacing/>
      <w:mirrorIndents/>
      <w:jc w:val="both"/>
      <w:rPr>
        <w:sz w:val="20"/>
        <w:szCs w:val="20"/>
      </w:rPr>
    </w:pPr>
    <w:r w:rsidRPr="007443F2">
      <w:rPr>
        <w:noProof/>
        <w:sz w:val="20"/>
        <w:szCs w:val="20"/>
        <w:lang w:val="en-IN" w:eastAsia="en-IN"/>
      </w:rPr>
      <w:drawing>
        <wp:anchor distT="0" distB="0" distL="114300" distR="114300" simplePos="0" relativeHeight="251659264" behindDoc="0" locked="0" layoutInCell="1" allowOverlap="1" wp14:anchorId="6128CDB5" wp14:editId="756883D3">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ADE42C0" w14:textId="77777777" w:rsidR="00CE74B2" w:rsidRPr="00B84A78" w:rsidRDefault="00CE74B2" w:rsidP="00E40CA4">
    <w:pPr>
      <w:tabs>
        <w:tab w:val="left" w:pos="7426"/>
      </w:tabs>
      <w:spacing w:after="0" w:afterAutospacing="0" w:line="240" w:lineRule="auto"/>
      <w:ind w:firstLine="0"/>
      <w:contextualSpacing/>
      <w:mirrorIndents/>
      <w:jc w:val="both"/>
      <w:rPr>
        <w:sz w:val="22"/>
        <w:szCs w:val="20"/>
      </w:rPr>
    </w:pPr>
    <w:r w:rsidRPr="00B84A78">
      <w:rPr>
        <w:sz w:val="22"/>
        <w:szCs w:val="20"/>
      </w:rPr>
      <w:t>Columbus Publishers</w:t>
    </w:r>
  </w:p>
  <w:p w14:paraId="1BB3A009" w14:textId="77777777" w:rsidR="00CE74B2" w:rsidRPr="00B84A78" w:rsidRDefault="00CE74B2" w:rsidP="00E40CA4">
    <w:pPr>
      <w:tabs>
        <w:tab w:val="left" w:pos="7426"/>
      </w:tabs>
      <w:spacing w:after="0" w:afterAutospacing="0" w:line="240" w:lineRule="auto"/>
      <w:ind w:firstLine="0"/>
      <w:contextualSpacing/>
      <w:mirrorIndents/>
      <w:jc w:val="both"/>
      <w:rPr>
        <w:sz w:val="22"/>
        <w:szCs w:val="20"/>
      </w:rPr>
    </w:pPr>
    <w:r w:rsidRPr="00B84A78">
      <w:rPr>
        <w:sz w:val="22"/>
        <w:szCs w:val="20"/>
      </w:rPr>
      <w:t>International Journal of Nursing and Health Care Science</w:t>
    </w:r>
  </w:p>
  <w:p w14:paraId="550F3C68" w14:textId="77777777" w:rsidR="00CE74B2" w:rsidRPr="00B84A78" w:rsidRDefault="00CE74B2" w:rsidP="00E40CA4">
    <w:pPr>
      <w:spacing w:after="0" w:afterAutospacing="0" w:line="240" w:lineRule="auto"/>
      <w:ind w:firstLine="0"/>
      <w:contextualSpacing/>
      <w:mirrorIndents/>
      <w:jc w:val="both"/>
      <w:rPr>
        <w:sz w:val="22"/>
        <w:szCs w:val="20"/>
      </w:rPr>
    </w:pPr>
    <w:r w:rsidRPr="00B84A78">
      <w:rPr>
        <w:sz w:val="22"/>
        <w:szCs w:val="20"/>
      </w:rPr>
      <w:t>Volume 04: Issue 04</w:t>
    </w:r>
  </w:p>
  <w:p w14:paraId="6FD9F1B7" w14:textId="7A52D512" w:rsidR="007443F2" w:rsidRDefault="00E141ED" w:rsidP="00E40CA4">
    <w:pPr>
      <w:spacing w:after="0" w:afterAutospacing="0" w:line="240" w:lineRule="auto"/>
      <w:ind w:firstLine="0"/>
      <w:contextualSpacing/>
      <w:mirrorIndents/>
      <w:jc w:val="both"/>
      <w:rPr>
        <w:sz w:val="20"/>
        <w:szCs w:val="20"/>
      </w:rPr>
    </w:pPr>
    <w:r w:rsidRPr="00B84A78">
      <w:rPr>
        <w:sz w:val="22"/>
        <w:szCs w:val="20"/>
      </w:rPr>
      <w:t>Saver M and Swenson C</w:t>
    </w:r>
    <w:r w:rsidR="00CE74B2" w:rsidRPr="00B84A78">
      <w:rPr>
        <w:sz w:val="22"/>
        <w:szCs w:val="20"/>
      </w:rPr>
      <w:t>.</w:t>
    </w:r>
    <w:r w:rsidR="00A208D5" w:rsidRPr="008D6C9E">
      <w:rPr>
        <w:sz w:val="20"/>
        <w:szCs w:val="20"/>
      </w:rPr>
      <w:t xml:space="preserve"> </w:t>
    </w:r>
  </w:p>
  <w:p w14:paraId="7D3D6F6E" w14:textId="77777777" w:rsidR="00A208D5" w:rsidRPr="007443F2" w:rsidRDefault="00A208D5" w:rsidP="00E40CA4">
    <w:pPr>
      <w:spacing w:after="0" w:afterAutospacing="0" w:line="240" w:lineRule="auto"/>
      <w:ind w:firstLine="0"/>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100A"/>
    <w:multiLevelType w:val="hybridMultilevel"/>
    <w:tmpl w:val="F40E71A0"/>
    <w:lvl w:ilvl="0" w:tplc="86BC62FC">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1F5235"/>
    <w:multiLevelType w:val="hybridMultilevel"/>
    <w:tmpl w:val="5E36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76E44"/>
    <w:multiLevelType w:val="hybridMultilevel"/>
    <w:tmpl w:val="EF9CF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89"/>
    <w:rsid w:val="00002373"/>
    <w:rsid w:val="000051CD"/>
    <w:rsid w:val="000066EC"/>
    <w:rsid w:val="00006B8A"/>
    <w:rsid w:val="00014C92"/>
    <w:rsid w:val="000162EA"/>
    <w:rsid w:val="00020007"/>
    <w:rsid w:val="00021220"/>
    <w:rsid w:val="00021A63"/>
    <w:rsid w:val="00021C44"/>
    <w:rsid w:val="00023B78"/>
    <w:rsid w:val="00026BDF"/>
    <w:rsid w:val="000330C0"/>
    <w:rsid w:val="000435BE"/>
    <w:rsid w:val="00051C1F"/>
    <w:rsid w:val="000629C6"/>
    <w:rsid w:val="00067A90"/>
    <w:rsid w:val="0007361F"/>
    <w:rsid w:val="00080CB1"/>
    <w:rsid w:val="00092D9C"/>
    <w:rsid w:val="00094EB4"/>
    <w:rsid w:val="000B32D7"/>
    <w:rsid w:val="000C40A4"/>
    <w:rsid w:val="000D19E7"/>
    <w:rsid w:val="000E7690"/>
    <w:rsid w:val="000F6733"/>
    <w:rsid w:val="000F7DFF"/>
    <w:rsid w:val="00116A90"/>
    <w:rsid w:val="00120BE5"/>
    <w:rsid w:val="001353E0"/>
    <w:rsid w:val="0014619E"/>
    <w:rsid w:val="00151A5F"/>
    <w:rsid w:val="0015555E"/>
    <w:rsid w:val="00164130"/>
    <w:rsid w:val="0018247B"/>
    <w:rsid w:val="001B6534"/>
    <w:rsid w:val="001C65EE"/>
    <w:rsid w:val="001D2BB2"/>
    <w:rsid w:val="001E005F"/>
    <w:rsid w:val="001E3378"/>
    <w:rsid w:val="001F49B9"/>
    <w:rsid w:val="002103DC"/>
    <w:rsid w:val="0023189D"/>
    <w:rsid w:val="00232CCA"/>
    <w:rsid w:val="00234C6B"/>
    <w:rsid w:val="00256D76"/>
    <w:rsid w:val="002639F3"/>
    <w:rsid w:val="0026790F"/>
    <w:rsid w:val="00273E85"/>
    <w:rsid w:val="00275CC5"/>
    <w:rsid w:val="00277B66"/>
    <w:rsid w:val="00282B6D"/>
    <w:rsid w:val="002877B2"/>
    <w:rsid w:val="002A2BD6"/>
    <w:rsid w:val="002C6E99"/>
    <w:rsid w:val="002D75F0"/>
    <w:rsid w:val="00300911"/>
    <w:rsid w:val="00305D65"/>
    <w:rsid w:val="00316B7A"/>
    <w:rsid w:val="00326472"/>
    <w:rsid w:val="00330F2B"/>
    <w:rsid w:val="00337445"/>
    <w:rsid w:val="00350C7A"/>
    <w:rsid w:val="003674AE"/>
    <w:rsid w:val="00367618"/>
    <w:rsid w:val="00380AD1"/>
    <w:rsid w:val="00381339"/>
    <w:rsid w:val="003837A6"/>
    <w:rsid w:val="00392C9C"/>
    <w:rsid w:val="0039360A"/>
    <w:rsid w:val="003944AE"/>
    <w:rsid w:val="003A6484"/>
    <w:rsid w:val="003A6499"/>
    <w:rsid w:val="003B7B2C"/>
    <w:rsid w:val="003C3A99"/>
    <w:rsid w:val="003C4B58"/>
    <w:rsid w:val="003E4852"/>
    <w:rsid w:val="003F0B47"/>
    <w:rsid w:val="003F0EE9"/>
    <w:rsid w:val="003F383C"/>
    <w:rsid w:val="003F77E8"/>
    <w:rsid w:val="00403A46"/>
    <w:rsid w:val="004133D9"/>
    <w:rsid w:val="004231E9"/>
    <w:rsid w:val="00425778"/>
    <w:rsid w:val="00441D15"/>
    <w:rsid w:val="004460AF"/>
    <w:rsid w:val="00463222"/>
    <w:rsid w:val="00480AD9"/>
    <w:rsid w:val="00483489"/>
    <w:rsid w:val="004906A1"/>
    <w:rsid w:val="00492A9C"/>
    <w:rsid w:val="00496D61"/>
    <w:rsid w:val="004A0A9E"/>
    <w:rsid w:val="004A1187"/>
    <w:rsid w:val="004A1BE9"/>
    <w:rsid w:val="004A4839"/>
    <w:rsid w:val="004A6B94"/>
    <w:rsid w:val="004B2B8F"/>
    <w:rsid w:val="004B66DC"/>
    <w:rsid w:val="004C0035"/>
    <w:rsid w:val="004C1E1C"/>
    <w:rsid w:val="004C3944"/>
    <w:rsid w:val="004C4E90"/>
    <w:rsid w:val="004D35F1"/>
    <w:rsid w:val="004D75F1"/>
    <w:rsid w:val="004E0427"/>
    <w:rsid w:val="004E3316"/>
    <w:rsid w:val="004F2125"/>
    <w:rsid w:val="004F2F93"/>
    <w:rsid w:val="005004ED"/>
    <w:rsid w:val="00501252"/>
    <w:rsid w:val="00504288"/>
    <w:rsid w:val="00514843"/>
    <w:rsid w:val="0051584A"/>
    <w:rsid w:val="005250FE"/>
    <w:rsid w:val="005251BE"/>
    <w:rsid w:val="00537432"/>
    <w:rsid w:val="0053754E"/>
    <w:rsid w:val="00553CC0"/>
    <w:rsid w:val="00553EC9"/>
    <w:rsid w:val="0056135D"/>
    <w:rsid w:val="00562332"/>
    <w:rsid w:val="00566EE8"/>
    <w:rsid w:val="005825A6"/>
    <w:rsid w:val="0058595C"/>
    <w:rsid w:val="00592360"/>
    <w:rsid w:val="005A1C17"/>
    <w:rsid w:val="005C237D"/>
    <w:rsid w:val="005D7ACA"/>
    <w:rsid w:val="005E4A54"/>
    <w:rsid w:val="005F4D1B"/>
    <w:rsid w:val="005F52E1"/>
    <w:rsid w:val="005F7BDB"/>
    <w:rsid w:val="00606F2C"/>
    <w:rsid w:val="00610311"/>
    <w:rsid w:val="00610335"/>
    <w:rsid w:val="00610D99"/>
    <w:rsid w:val="006177FA"/>
    <w:rsid w:val="00634635"/>
    <w:rsid w:val="00644D89"/>
    <w:rsid w:val="0064535B"/>
    <w:rsid w:val="00645C40"/>
    <w:rsid w:val="00651677"/>
    <w:rsid w:val="00653A9D"/>
    <w:rsid w:val="00666EDF"/>
    <w:rsid w:val="00686E9B"/>
    <w:rsid w:val="006B58AD"/>
    <w:rsid w:val="006C177D"/>
    <w:rsid w:val="006F2B38"/>
    <w:rsid w:val="006F4FBF"/>
    <w:rsid w:val="00701431"/>
    <w:rsid w:val="00702C0B"/>
    <w:rsid w:val="00722076"/>
    <w:rsid w:val="00730B95"/>
    <w:rsid w:val="00730E90"/>
    <w:rsid w:val="00735EA6"/>
    <w:rsid w:val="00741EDE"/>
    <w:rsid w:val="007443F2"/>
    <w:rsid w:val="00760A48"/>
    <w:rsid w:val="00760E68"/>
    <w:rsid w:val="0076174F"/>
    <w:rsid w:val="007664B2"/>
    <w:rsid w:val="00771288"/>
    <w:rsid w:val="007824C3"/>
    <w:rsid w:val="007828D6"/>
    <w:rsid w:val="0078759D"/>
    <w:rsid w:val="007924F3"/>
    <w:rsid w:val="007A71D9"/>
    <w:rsid w:val="007B06E0"/>
    <w:rsid w:val="007C274D"/>
    <w:rsid w:val="007C6C2D"/>
    <w:rsid w:val="007D6627"/>
    <w:rsid w:val="007D75A4"/>
    <w:rsid w:val="007E446C"/>
    <w:rsid w:val="007E6361"/>
    <w:rsid w:val="007F3AF9"/>
    <w:rsid w:val="007F619B"/>
    <w:rsid w:val="00805D78"/>
    <w:rsid w:val="00811300"/>
    <w:rsid w:val="008229C2"/>
    <w:rsid w:val="00830779"/>
    <w:rsid w:val="008334D1"/>
    <w:rsid w:val="00833EEC"/>
    <w:rsid w:val="008342AB"/>
    <w:rsid w:val="00837DC1"/>
    <w:rsid w:val="008754A6"/>
    <w:rsid w:val="00887B8E"/>
    <w:rsid w:val="008920D3"/>
    <w:rsid w:val="00893F19"/>
    <w:rsid w:val="0089794E"/>
    <w:rsid w:val="008A7DDF"/>
    <w:rsid w:val="008B5624"/>
    <w:rsid w:val="008C2F45"/>
    <w:rsid w:val="008C2FBE"/>
    <w:rsid w:val="008C369C"/>
    <w:rsid w:val="008D6C9E"/>
    <w:rsid w:val="008E166C"/>
    <w:rsid w:val="008F3C02"/>
    <w:rsid w:val="009006AF"/>
    <w:rsid w:val="00905E58"/>
    <w:rsid w:val="00907B7C"/>
    <w:rsid w:val="00911341"/>
    <w:rsid w:val="0091574B"/>
    <w:rsid w:val="00917006"/>
    <w:rsid w:val="009270DE"/>
    <w:rsid w:val="009321BA"/>
    <w:rsid w:val="0093465D"/>
    <w:rsid w:val="009477A5"/>
    <w:rsid w:val="00956278"/>
    <w:rsid w:val="00956814"/>
    <w:rsid w:val="00975826"/>
    <w:rsid w:val="00980C5C"/>
    <w:rsid w:val="009819BB"/>
    <w:rsid w:val="009819F1"/>
    <w:rsid w:val="009822C6"/>
    <w:rsid w:val="00982A29"/>
    <w:rsid w:val="00991141"/>
    <w:rsid w:val="009A0F3D"/>
    <w:rsid w:val="009A2A95"/>
    <w:rsid w:val="009B7B06"/>
    <w:rsid w:val="009C3935"/>
    <w:rsid w:val="009C7D25"/>
    <w:rsid w:val="009E4A52"/>
    <w:rsid w:val="009E73A3"/>
    <w:rsid w:val="00A12B38"/>
    <w:rsid w:val="00A15A95"/>
    <w:rsid w:val="00A171A6"/>
    <w:rsid w:val="00A208D5"/>
    <w:rsid w:val="00A24964"/>
    <w:rsid w:val="00A32EAF"/>
    <w:rsid w:val="00A34272"/>
    <w:rsid w:val="00A37668"/>
    <w:rsid w:val="00A41606"/>
    <w:rsid w:val="00A43CF4"/>
    <w:rsid w:val="00A455B3"/>
    <w:rsid w:val="00A4714E"/>
    <w:rsid w:val="00A47DD9"/>
    <w:rsid w:val="00A542A3"/>
    <w:rsid w:val="00A571B2"/>
    <w:rsid w:val="00A70F6A"/>
    <w:rsid w:val="00A71255"/>
    <w:rsid w:val="00A7610A"/>
    <w:rsid w:val="00A835A5"/>
    <w:rsid w:val="00AA42FD"/>
    <w:rsid w:val="00AB4784"/>
    <w:rsid w:val="00AB7304"/>
    <w:rsid w:val="00AC1EAA"/>
    <w:rsid w:val="00AD2E9E"/>
    <w:rsid w:val="00AD7E39"/>
    <w:rsid w:val="00AE0EA0"/>
    <w:rsid w:val="00B020C7"/>
    <w:rsid w:val="00B041BE"/>
    <w:rsid w:val="00B337FF"/>
    <w:rsid w:val="00B6498C"/>
    <w:rsid w:val="00B66F3F"/>
    <w:rsid w:val="00B84A78"/>
    <w:rsid w:val="00B97CB8"/>
    <w:rsid w:val="00BA5F35"/>
    <w:rsid w:val="00BB4142"/>
    <w:rsid w:val="00BC70BB"/>
    <w:rsid w:val="00BE1B14"/>
    <w:rsid w:val="00BF2A0B"/>
    <w:rsid w:val="00C007CF"/>
    <w:rsid w:val="00C01D26"/>
    <w:rsid w:val="00C03F1F"/>
    <w:rsid w:val="00C07CBF"/>
    <w:rsid w:val="00C11612"/>
    <w:rsid w:val="00C15D0D"/>
    <w:rsid w:val="00C16B01"/>
    <w:rsid w:val="00C33F7E"/>
    <w:rsid w:val="00C345D6"/>
    <w:rsid w:val="00C35899"/>
    <w:rsid w:val="00C36B49"/>
    <w:rsid w:val="00C40006"/>
    <w:rsid w:val="00C44C5C"/>
    <w:rsid w:val="00C46182"/>
    <w:rsid w:val="00C67D9A"/>
    <w:rsid w:val="00C872B7"/>
    <w:rsid w:val="00C9049A"/>
    <w:rsid w:val="00C927C7"/>
    <w:rsid w:val="00CA0411"/>
    <w:rsid w:val="00CD0267"/>
    <w:rsid w:val="00CD0966"/>
    <w:rsid w:val="00CD11B9"/>
    <w:rsid w:val="00CD612B"/>
    <w:rsid w:val="00CE3D42"/>
    <w:rsid w:val="00CE52EA"/>
    <w:rsid w:val="00CE70E6"/>
    <w:rsid w:val="00CE74B2"/>
    <w:rsid w:val="00CF0D5F"/>
    <w:rsid w:val="00CF3793"/>
    <w:rsid w:val="00CF3CCB"/>
    <w:rsid w:val="00D04C40"/>
    <w:rsid w:val="00D07DDF"/>
    <w:rsid w:val="00D16980"/>
    <w:rsid w:val="00D21BC9"/>
    <w:rsid w:val="00D53380"/>
    <w:rsid w:val="00D7406B"/>
    <w:rsid w:val="00D77354"/>
    <w:rsid w:val="00D80B44"/>
    <w:rsid w:val="00D83FB6"/>
    <w:rsid w:val="00D84761"/>
    <w:rsid w:val="00D84B88"/>
    <w:rsid w:val="00D94933"/>
    <w:rsid w:val="00DA48CF"/>
    <w:rsid w:val="00DC5C44"/>
    <w:rsid w:val="00DD09A4"/>
    <w:rsid w:val="00DD0C13"/>
    <w:rsid w:val="00DD27E7"/>
    <w:rsid w:val="00DE0803"/>
    <w:rsid w:val="00DF1CA5"/>
    <w:rsid w:val="00E02361"/>
    <w:rsid w:val="00E02782"/>
    <w:rsid w:val="00E07140"/>
    <w:rsid w:val="00E141ED"/>
    <w:rsid w:val="00E16745"/>
    <w:rsid w:val="00E21F88"/>
    <w:rsid w:val="00E23CEE"/>
    <w:rsid w:val="00E31E73"/>
    <w:rsid w:val="00E40CA4"/>
    <w:rsid w:val="00E41003"/>
    <w:rsid w:val="00E473E9"/>
    <w:rsid w:val="00E47475"/>
    <w:rsid w:val="00E728AA"/>
    <w:rsid w:val="00E75B9B"/>
    <w:rsid w:val="00E8650C"/>
    <w:rsid w:val="00EB42E0"/>
    <w:rsid w:val="00EB5068"/>
    <w:rsid w:val="00ED1980"/>
    <w:rsid w:val="00EE13DA"/>
    <w:rsid w:val="00EF7D8E"/>
    <w:rsid w:val="00F00E3A"/>
    <w:rsid w:val="00F110C4"/>
    <w:rsid w:val="00F12902"/>
    <w:rsid w:val="00F134CA"/>
    <w:rsid w:val="00F17B32"/>
    <w:rsid w:val="00F2527B"/>
    <w:rsid w:val="00F429D5"/>
    <w:rsid w:val="00F4490C"/>
    <w:rsid w:val="00F517DA"/>
    <w:rsid w:val="00F61C19"/>
    <w:rsid w:val="00F62CB2"/>
    <w:rsid w:val="00F7622C"/>
    <w:rsid w:val="00F8049A"/>
    <w:rsid w:val="00F80C42"/>
    <w:rsid w:val="00F85321"/>
    <w:rsid w:val="00F97765"/>
    <w:rsid w:val="00FA25A3"/>
    <w:rsid w:val="00FB2C7B"/>
    <w:rsid w:val="00FB5294"/>
    <w:rsid w:val="00FB6756"/>
    <w:rsid w:val="00FB7C7B"/>
    <w:rsid w:val="00FC2E48"/>
    <w:rsid w:val="00FD6C81"/>
    <w:rsid w:val="00FD7F0D"/>
    <w:rsid w:val="00FE1020"/>
    <w:rsid w:val="00FE78EB"/>
    <w:rsid w:val="00FF0114"/>
    <w:rsid w:val="00FF31D5"/>
    <w:rsid w:val="00FF5009"/>
    <w:rsid w:val="00FF6A4C"/>
    <w:rsid w:val="00FF73A9"/>
    <w:rsid w:val="2AF86F87"/>
    <w:rsid w:val="6992B8A0"/>
    <w:rsid w:val="74DEF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2920"/>
  <w15:chartTrackingRefBased/>
  <w15:docId w15:val="{5109E0B2-850F-409E-BE81-C506038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00" w:afterAutospacing="1"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933"/>
    <w:pPr>
      <w:spacing w:after="0" w:afterAutospacing="0" w:line="240" w:lineRule="auto"/>
      <w:ind w:firstLine="0"/>
    </w:pPr>
    <w:rPr>
      <w:rFonts w:asciiTheme="minorHAnsi" w:hAnsiTheme="minorHAnsi" w:cstheme="minorBidi"/>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20"/>
  </w:style>
  <w:style w:type="paragraph" w:styleId="Footer">
    <w:name w:val="footer"/>
    <w:basedOn w:val="Normal"/>
    <w:link w:val="FooterChar"/>
    <w:uiPriority w:val="99"/>
    <w:unhideWhenUsed/>
    <w:rsid w:val="00FE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20"/>
  </w:style>
  <w:style w:type="character" w:styleId="Hyperlink">
    <w:name w:val="Hyperlink"/>
    <w:basedOn w:val="DefaultParagraphFont"/>
    <w:uiPriority w:val="99"/>
    <w:unhideWhenUsed/>
    <w:rsid w:val="00C44C5C"/>
    <w:rPr>
      <w:color w:val="0563C1" w:themeColor="hyperlink"/>
      <w:u w:val="single"/>
    </w:rPr>
  </w:style>
  <w:style w:type="character" w:customStyle="1" w:styleId="UnresolvedMention">
    <w:name w:val="Unresolved Mention"/>
    <w:basedOn w:val="DefaultParagraphFont"/>
    <w:uiPriority w:val="99"/>
    <w:semiHidden/>
    <w:unhideWhenUsed/>
    <w:rsid w:val="004D75F1"/>
    <w:rPr>
      <w:color w:val="605E5C"/>
      <w:shd w:val="clear" w:color="auto" w:fill="E1DFDD"/>
    </w:rPr>
  </w:style>
  <w:style w:type="paragraph" w:styleId="ListParagraph">
    <w:name w:val="List Paragraph"/>
    <w:basedOn w:val="Normal"/>
    <w:uiPriority w:val="34"/>
    <w:qFormat/>
    <w:rsid w:val="00AD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2819">
      <w:bodyDiv w:val="1"/>
      <w:marLeft w:val="0"/>
      <w:marRight w:val="0"/>
      <w:marTop w:val="0"/>
      <w:marBottom w:val="0"/>
      <w:divBdr>
        <w:top w:val="none" w:sz="0" w:space="0" w:color="auto"/>
        <w:left w:val="none" w:sz="0" w:space="0" w:color="auto"/>
        <w:bottom w:val="none" w:sz="0" w:space="0" w:color="auto"/>
        <w:right w:val="none" w:sz="0" w:space="0" w:color="auto"/>
      </w:divBdr>
    </w:div>
    <w:div w:id="133497615">
      <w:bodyDiv w:val="1"/>
      <w:marLeft w:val="0"/>
      <w:marRight w:val="0"/>
      <w:marTop w:val="0"/>
      <w:marBottom w:val="0"/>
      <w:divBdr>
        <w:top w:val="none" w:sz="0" w:space="0" w:color="auto"/>
        <w:left w:val="none" w:sz="0" w:space="0" w:color="auto"/>
        <w:bottom w:val="none" w:sz="0" w:space="0" w:color="auto"/>
        <w:right w:val="none" w:sz="0" w:space="0" w:color="auto"/>
      </w:divBdr>
    </w:div>
    <w:div w:id="173229445">
      <w:bodyDiv w:val="1"/>
      <w:marLeft w:val="0"/>
      <w:marRight w:val="0"/>
      <w:marTop w:val="0"/>
      <w:marBottom w:val="0"/>
      <w:divBdr>
        <w:top w:val="none" w:sz="0" w:space="0" w:color="auto"/>
        <w:left w:val="none" w:sz="0" w:space="0" w:color="auto"/>
        <w:bottom w:val="none" w:sz="0" w:space="0" w:color="auto"/>
        <w:right w:val="none" w:sz="0" w:space="0" w:color="auto"/>
      </w:divBdr>
    </w:div>
    <w:div w:id="253982154">
      <w:bodyDiv w:val="1"/>
      <w:marLeft w:val="0"/>
      <w:marRight w:val="0"/>
      <w:marTop w:val="0"/>
      <w:marBottom w:val="0"/>
      <w:divBdr>
        <w:top w:val="none" w:sz="0" w:space="0" w:color="auto"/>
        <w:left w:val="none" w:sz="0" w:space="0" w:color="auto"/>
        <w:bottom w:val="none" w:sz="0" w:space="0" w:color="auto"/>
        <w:right w:val="none" w:sz="0" w:space="0" w:color="auto"/>
      </w:divBdr>
    </w:div>
    <w:div w:id="347147660">
      <w:bodyDiv w:val="1"/>
      <w:marLeft w:val="0"/>
      <w:marRight w:val="0"/>
      <w:marTop w:val="0"/>
      <w:marBottom w:val="0"/>
      <w:divBdr>
        <w:top w:val="none" w:sz="0" w:space="0" w:color="auto"/>
        <w:left w:val="none" w:sz="0" w:space="0" w:color="auto"/>
        <w:bottom w:val="none" w:sz="0" w:space="0" w:color="auto"/>
        <w:right w:val="none" w:sz="0" w:space="0" w:color="auto"/>
      </w:divBdr>
    </w:div>
    <w:div w:id="400912549">
      <w:bodyDiv w:val="1"/>
      <w:marLeft w:val="0"/>
      <w:marRight w:val="0"/>
      <w:marTop w:val="0"/>
      <w:marBottom w:val="0"/>
      <w:divBdr>
        <w:top w:val="none" w:sz="0" w:space="0" w:color="auto"/>
        <w:left w:val="none" w:sz="0" w:space="0" w:color="auto"/>
        <w:bottom w:val="none" w:sz="0" w:space="0" w:color="auto"/>
        <w:right w:val="none" w:sz="0" w:space="0" w:color="auto"/>
      </w:divBdr>
    </w:div>
    <w:div w:id="439227252">
      <w:bodyDiv w:val="1"/>
      <w:marLeft w:val="0"/>
      <w:marRight w:val="0"/>
      <w:marTop w:val="0"/>
      <w:marBottom w:val="0"/>
      <w:divBdr>
        <w:top w:val="none" w:sz="0" w:space="0" w:color="auto"/>
        <w:left w:val="none" w:sz="0" w:space="0" w:color="auto"/>
        <w:bottom w:val="none" w:sz="0" w:space="0" w:color="auto"/>
        <w:right w:val="none" w:sz="0" w:space="0" w:color="auto"/>
      </w:divBdr>
    </w:div>
    <w:div w:id="500892920">
      <w:bodyDiv w:val="1"/>
      <w:marLeft w:val="0"/>
      <w:marRight w:val="0"/>
      <w:marTop w:val="0"/>
      <w:marBottom w:val="0"/>
      <w:divBdr>
        <w:top w:val="none" w:sz="0" w:space="0" w:color="auto"/>
        <w:left w:val="none" w:sz="0" w:space="0" w:color="auto"/>
        <w:bottom w:val="none" w:sz="0" w:space="0" w:color="auto"/>
        <w:right w:val="none" w:sz="0" w:space="0" w:color="auto"/>
      </w:divBdr>
    </w:div>
    <w:div w:id="663631211">
      <w:bodyDiv w:val="1"/>
      <w:marLeft w:val="0"/>
      <w:marRight w:val="0"/>
      <w:marTop w:val="0"/>
      <w:marBottom w:val="0"/>
      <w:divBdr>
        <w:top w:val="none" w:sz="0" w:space="0" w:color="auto"/>
        <w:left w:val="none" w:sz="0" w:space="0" w:color="auto"/>
        <w:bottom w:val="none" w:sz="0" w:space="0" w:color="auto"/>
        <w:right w:val="none" w:sz="0" w:space="0" w:color="auto"/>
      </w:divBdr>
    </w:div>
    <w:div w:id="984508179">
      <w:bodyDiv w:val="1"/>
      <w:marLeft w:val="0"/>
      <w:marRight w:val="0"/>
      <w:marTop w:val="0"/>
      <w:marBottom w:val="0"/>
      <w:divBdr>
        <w:top w:val="none" w:sz="0" w:space="0" w:color="auto"/>
        <w:left w:val="none" w:sz="0" w:space="0" w:color="auto"/>
        <w:bottom w:val="none" w:sz="0" w:space="0" w:color="auto"/>
        <w:right w:val="none" w:sz="0" w:space="0" w:color="auto"/>
      </w:divBdr>
    </w:div>
    <w:div w:id="1084884096">
      <w:bodyDiv w:val="1"/>
      <w:marLeft w:val="0"/>
      <w:marRight w:val="0"/>
      <w:marTop w:val="0"/>
      <w:marBottom w:val="0"/>
      <w:divBdr>
        <w:top w:val="none" w:sz="0" w:space="0" w:color="auto"/>
        <w:left w:val="none" w:sz="0" w:space="0" w:color="auto"/>
        <w:bottom w:val="none" w:sz="0" w:space="0" w:color="auto"/>
        <w:right w:val="none" w:sz="0" w:space="0" w:color="auto"/>
      </w:divBdr>
    </w:div>
    <w:div w:id="1120494413">
      <w:bodyDiv w:val="1"/>
      <w:marLeft w:val="0"/>
      <w:marRight w:val="0"/>
      <w:marTop w:val="0"/>
      <w:marBottom w:val="0"/>
      <w:divBdr>
        <w:top w:val="none" w:sz="0" w:space="0" w:color="auto"/>
        <w:left w:val="none" w:sz="0" w:space="0" w:color="auto"/>
        <w:bottom w:val="none" w:sz="0" w:space="0" w:color="auto"/>
        <w:right w:val="none" w:sz="0" w:space="0" w:color="auto"/>
      </w:divBdr>
    </w:div>
    <w:div w:id="1233541345">
      <w:bodyDiv w:val="1"/>
      <w:marLeft w:val="0"/>
      <w:marRight w:val="0"/>
      <w:marTop w:val="0"/>
      <w:marBottom w:val="0"/>
      <w:divBdr>
        <w:top w:val="none" w:sz="0" w:space="0" w:color="auto"/>
        <w:left w:val="none" w:sz="0" w:space="0" w:color="auto"/>
        <w:bottom w:val="none" w:sz="0" w:space="0" w:color="auto"/>
        <w:right w:val="none" w:sz="0" w:space="0" w:color="auto"/>
      </w:divBdr>
    </w:div>
    <w:div w:id="1277902784">
      <w:bodyDiv w:val="1"/>
      <w:marLeft w:val="0"/>
      <w:marRight w:val="0"/>
      <w:marTop w:val="0"/>
      <w:marBottom w:val="0"/>
      <w:divBdr>
        <w:top w:val="none" w:sz="0" w:space="0" w:color="auto"/>
        <w:left w:val="none" w:sz="0" w:space="0" w:color="auto"/>
        <w:bottom w:val="none" w:sz="0" w:space="0" w:color="auto"/>
        <w:right w:val="none" w:sz="0" w:space="0" w:color="auto"/>
      </w:divBdr>
    </w:div>
    <w:div w:id="1408579211">
      <w:bodyDiv w:val="1"/>
      <w:marLeft w:val="0"/>
      <w:marRight w:val="0"/>
      <w:marTop w:val="0"/>
      <w:marBottom w:val="0"/>
      <w:divBdr>
        <w:top w:val="none" w:sz="0" w:space="0" w:color="auto"/>
        <w:left w:val="none" w:sz="0" w:space="0" w:color="auto"/>
        <w:bottom w:val="none" w:sz="0" w:space="0" w:color="auto"/>
        <w:right w:val="none" w:sz="0" w:space="0" w:color="auto"/>
      </w:divBdr>
    </w:div>
    <w:div w:id="1569539497">
      <w:bodyDiv w:val="1"/>
      <w:marLeft w:val="0"/>
      <w:marRight w:val="0"/>
      <w:marTop w:val="0"/>
      <w:marBottom w:val="0"/>
      <w:divBdr>
        <w:top w:val="none" w:sz="0" w:space="0" w:color="auto"/>
        <w:left w:val="none" w:sz="0" w:space="0" w:color="auto"/>
        <w:bottom w:val="none" w:sz="0" w:space="0" w:color="auto"/>
        <w:right w:val="none" w:sz="0" w:space="0" w:color="auto"/>
      </w:divBdr>
    </w:div>
    <w:div w:id="1606687855">
      <w:bodyDiv w:val="1"/>
      <w:marLeft w:val="0"/>
      <w:marRight w:val="0"/>
      <w:marTop w:val="0"/>
      <w:marBottom w:val="0"/>
      <w:divBdr>
        <w:top w:val="none" w:sz="0" w:space="0" w:color="auto"/>
        <w:left w:val="none" w:sz="0" w:space="0" w:color="auto"/>
        <w:bottom w:val="none" w:sz="0" w:space="0" w:color="auto"/>
        <w:right w:val="none" w:sz="0" w:space="0" w:color="auto"/>
      </w:divBdr>
    </w:div>
    <w:div w:id="1629898092">
      <w:bodyDiv w:val="1"/>
      <w:marLeft w:val="0"/>
      <w:marRight w:val="0"/>
      <w:marTop w:val="0"/>
      <w:marBottom w:val="0"/>
      <w:divBdr>
        <w:top w:val="none" w:sz="0" w:space="0" w:color="auto"/>
        <w:left w:val="none" w:sz="0" w:space="0" w:color="auto"/>
        <w:bottom w:val="none" w:sz="0" w:space="0" w:color="auto"/>
        <w:right w:val="none" w:sz="0" w:space="0" w:color="auto"/>
      </w:divBdr>
    </w:div>
    <w:div w:id="1649898746">
      <w:bodyDiv w:val="1"/>
      <w:marLeft w:val="0"/>
      <w:marRight w:val="0"/>
      <w:marTop w:val="0"/>
      <w:marBottom w:val="0"/>
      <w:divBdr>
        <w:top w:val="none" w:sz="0" w:space="0" w:color="auto"/>
        <w:left w:val="none" w:sz="0" w:space="0" w:color="auto"/>
        <w:bottom w:val="none" w:sz="0" w:space="0" w:color="auto"/>
        <w:right w:val="none" w:sz="0" w:space="0" w:color="auto"/>
      </w:divBdr>
    </w:div>
    <w:div w:id="1686244817">
      <w:bodyDiv w:val="1"/>
      <w:marLeft w:val="0"/>
      <w:marRight w:val="0"/>
      <w:marTop w:val="0"/>
      <w:marBottom w:val="0"/>
      <w:divBdr>
        <w:top w:val="none" w:sz="0" w:space="0" w:color="auto"/>
        <w:left w:val="none" w:sz="0" w:space="0" w:color="auto"/>
        <w:bottom w:val="none" w:sz="0" w:space="0" w:color="auto"/>
        <w:right w:val="none" w:sz="0" w:space="0" w:color="auto"/>
      </w:divBdr>
    </w:div>
    <w:div w:id="1736200480">
      <w:bodyDiv w:val="1"/>
      <w:marLeft w:val="0"/>
      <w:marRight w:val="0"/>
      <w:marTop w:val="0"/>
      <w:marBottom w:val="0"/>
      <w:divBdr>
        <w:top w:val="none" w:sz="0" w:space="0" w:color="auto"/>
        <w:left w:val="none" w:sz="0" w:space="0" w:color="auto"/>
        <w:bottom w:val="none" w:sz="0" w:space="0" w:color="auto"/>
        <w:right w:val="none" w:sz="0" w:space="0" w:color="auto"/>
      </w:divBdr>
    </w:div>
    <w:div w:id="1762675617">
      <w:bodyDiv w:val="1"/>
      <w:marLeft w:val="0"/>
      <w:marRight w:val="0"/>
      <w:marTop w:val="0"/>
      <w:marBottom w:val="0"/>
      <w:divBdr>
        <w:top w:val="none" w:sz="0" w:space="0" w:color="auto"/>
        <w:left w:val="none" w:sz="0" w:space="0" w:color="auto"/>
        <w:bottom w:val="none" w:sz="0" w:space="0" w:color="auto"/>
        <w:right w:val="none" w:sz="0" w:space="0" w:color="auto"/>
      </w:divBdr>
    </w:div>
    <w:div w:id="1783527184">
      <w:bodyDiv w:val="1"/>
      <w:marLeft w:val="0"/>
      <w:marRight w:val="0"/>
      <w:marTop w:val="0"/>
      <w:marBottom w:val="0"/>
      <w:divBdr>
        <w:top w:val="none" w:sz="0" w:space="0" w:color="auto"/>
        <w:left w:val="none" w:sz="0" w:space="0" w:color="auto"/>
        <w:bottom w:val="none" w:sz="0" w:space="0" w:color="auto"/>
        <w:right w:val="none" w:sz="0" w:space="0" w:color="auto"/>
      </w:divBdr>
    </w:div>
    <w:div w:id="1878616959">
      <w:bodyDiv w:val="1"/>
      <w:marLeft w:val="0"/>
      <w:marRight w:val="0"/>
      <w:marTop w:val="0"/>
      <w:marBottom w:val="0"/>
      <w:divBdr>
        <w:top w:val="none" w:sz="0" w:space="0" w:color="auto"/>
        <w:left w:val="none" w:sz="0" w:space="0" w:color="auto"/>
        <w:bottom w:val="none" w:sz="0" w:space="0" w:color="auto"/>
        <w:right w:val="none" w:sz="0" w:space="0" w:color="auto"/>
      </w:divBdr>
    </w:div>
    <w:div w:id="1964850376">
      <w:bodyDiv w:val="1"/>
      <w:marLeft w:val="0"/>
      <w:marRight w:val="0"/>
      <w:marTop w:val="0"/>
      <w:marBottom w:val="0"/>
      <w:divBdr>
        <w:top w:val="none" w:sz="0" w:space="0" w:color="auto"/>
        <w:left w:val="none" w:sz="0" w:space="0" w:color="auto"/>
        <w:bottom w:val="none" w:sz="0" w:space="0" w:color="auto"/>
        <w:right w:val="none" w:sz="0" w:space="0" w:color="auto"/>
      </w:divBdr>
    </w:div>
    <w:div w:id="1989820633">
      <w:bodyDiv w:val="1"/>
      <w:marLeft w:val="0"/>
      <w:marRight w:val="0"/>
      <w:marTop w:val="0"/>
      <w:marBottom w:val="0"/>
      <w:divBdr>
        <w:top w:val="none" w:sz="0" w:space="0" w:color="auto"/>
        <w:left w:val="none" w:sz="0" w:space="0" w:color="auto"/>
        <w:bottom w:val="none" w:sz="0" w:space="0" w:color="auto"/>
        <w:right w:val="none" w:sz="0" w:space="0" w:color="auto"/>
      </w:divBdr>
    </w:div>
    <w:div w:id="2006516331">
      <w:bodyDiv w:val="1"/>
      <w:marLeft w:val="0"/>
      <w:marRight w:val="0"/>
      <w:marTop w:val="0"/>
      <w:marBottom w:val="0"/>
      <w:divBdr>
        <w:top w:val="none" w:sz="0" w:space="0" w:color="auto"/>
        <w:left w:val="none" w:sz="0" w:space="0" w:color="auto"/>
        <w:bottom w:val="none" w:sz="0" w:space="0" w:color="auto"/>
        <w:right w:val="none" w:sz="0" w:space="0" w:color="auto"/>
      </w:divBdr>
    </w:div>
    <w:div w:id="20368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8972421/" TargetMode="External"/><Relationship Id="rId13" Type="http://schemas.openxmlformats.org/officeDocument/2006/relationships/hyperlink" Target="https://www.ncbi.nlm.nih.gov/pmc/articles/PMC4848387/" TargetMode="External"/><Relationship Id="rId18" Type="http://schemas.openxmlformats.org/officeDocument/2006/relationships/hyperlink" Target="file://E:\Journals%20All\4.%20International%20Journal%20of%20Nursing%20and%20Healthcare%20Sciences\Articles\IJNHCS-2024-320%20Emma%20Nyra%20outlook%20-%202%2016march\Kim%20HY%20(2013)%20Statistical%20notes%20for%20clinical%20researchers:%20Assessing%20normal%20distribution%20(2)%20using%20skewness%20and%20kurtosis.%20Restorative%20Dentistry%20&amp;%20Endodontics%2038:%2052-5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nnualreviews.org/content/journals/10.1146/annurev-publhealth-090419-102644" TargetMode="External"/><Relationship Id="rId12" Type="http://schemas.openxmlformats.org/officeDocument/2006/relationships/hyperlink" Target="https://pubmed.ncbi.nlm.nih.gov/25593570/" TargetMode="External"/><Relationship Id="rId17" Type="http://schemas.openxmlformats.org/officeDocument/2006/relationships/hyperlink" Target="https://www.ibm.com/products/spss-statistics?utm_content=SRCWW&amp;p1=Search&amp;p4=43700078595924097&amp;p5=p&amp;gad_source=1&amp;gclid=Cj0KCQjwwYSwBhDcARIsAOyL0fijD4nHvGAj2XhyGcKvq9auON9hnwWse5z4gl8JtUFCou6_G9Fp7G8aAu44EALw_wcB&amp;gclsrc=aw.ds" TargetMode="External"/><Relationship Id="rId2" Type="http://schemas.openxmlformats.org/officeDocument/2006/relationships/styles" Target="styles.xml"/><Relationship Id="rId16" Type="http://schemas.openxmlformats.org/officeDocument/2006/relationships/hyperlink" Target="https://pubmed.ncbi.nlm.nih.gov/3404093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4851911/" TargetMode="External"/><Relationship Id="rId5" Type="http://schemas.openxmlformats.org/officeDocument/2006/relationships/footnotes" Target="footnotes.xml"/><Relationship Id="rId15" Type="http://schemas.openxmlformats.org/officeDocument/2006/relationships/hyperlink" Target="https://diabetesjournals.org/clinical/article/36/1/14/31812/Standards-of-Medical-Care-in-Diabetes-2018" TargetMode="External"/><Relationship Id="rId23" Type="http://schemas.openxmlformats.org/officeDocument/2006/relationships/theme" Target="theme/theme1.xml"/><Relationship Id="rId10" Type="http://schemas.openxmlformats.org/officeDocument/2006/relationships/hyperlink" Target="https://search.ebscohost.com/" TargetMode="External"/><Relationship Id="rId19" Type="http://schemas.openxmlformats.org/officeDocument/2006/relationships/hyperlink" Target="https://www.ncbi.nlm.nih.gov/pmc/articles/PMC6350423/" TargetMode="External"/><Relationship Id="rId4" Type="http://schemas.openxmlformats.org/officeDocument/2006/relationships/webSettings" Target="webSettings.xml"/><Relationship Id="rId9" Type="http://schemas.openxmlformats.org/officeDocument/2006/relationships/hyperlink" Target="https://www.todaysdietitian.com/newarchives/0119p44.shtml" TargetMode="External"/><Relationship Id="rId14" Type="http://schemas.openxmlformats.org/officeDocument/2006/relationships/hyperlink" Target="https://journals.plos.org/plosone/article?id=10.1371/journal.pone.01919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2998</Words>
  <Characters>17093</Characters>
  <Application>Microsoft Office Word</Application>
  <DocSecurity>0</DocSecurity>
  <Lines>142</Lines>
  <Paragraphs>40</Paragraphs>
  <ScaleCrop>false</ScaleCrop>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swenson</dc:creator>
  <cp:keywords/>
  <dc:description/>
  <cp:lastModifiedBy>Emma Nyra</cp:lastModifiedBy>
  <cp:revision>600</cp:revision>
  <dcterms:created xsi:type="dcterms:W3CDTF">2024-02-04T03:12:00Z</dcterms:created>
  <dcterms:modified xsi:type="dcterms:W3CDTF">2024-04-23T18:02:00Z</dcterms:modified>
</cp:coreProperties>
</file>